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2B7E9" w14:textId="77777777" w:rsidR="005245B3" w:rsidRDefault="00C3576F">
      <w:pPr>
        <w:pStyle w:val="1"/>
        <w:spacing w:before="71"/>
        <w:ind w:left="5007" w:firstLine="0"/>
      </w:pPr>
      <w:bookmarkStart w:id="0" w:name="_GoBack"/>
      <w:bookmarkEnd w:id="0"/>
      <w:r>
        <w:rPr>
          <w:spacing w:val="-2"/>
        </w:rPr>
        <w:t>УТВЕРЖДЕНА</w:t>
      </w:r>
    </w:p>
    <w:p w14:paraId="43767415" w14:textId="77777777" w:rsidR="005245B3" w:rsidRDefault="00C3576F">
      <w:pPr>
        <w:pStyle w:val="a3"/>
        <w:spacing w:line="274" w:lineRule="exact"/>
        <w:ind w:left="5007"/>
        <w:jc w:val="left"/>
      </w:pPr>
      <w:r>
        <w:t>Приказом</w:t>
      </w:r>
      <w:r>
        <w:rPr>
          <w:spacing w:val="-2"/>
        </w:rPr>
        <w:t xml:space="preserve"> Председателя</w:t>
      </w:r>
    </w:p>
    <w:p w14:paraId="32502F02" w14:textId="52D358C1" w:rsidR="005245B3" w:rsidRDefault="00C3576F">
      <w:pPr>
        <w:pStyle w:val="a3"/>
        <w:tabs>
          <w:tab w:val="left" w:pos="6965"/>
        </w:tabs>
        <w:ind w:left="5007" w:right="638"/>
        <w:jc w:val="left"/>
      </w:pPr>
      <w:r>
        <w:t>РГУ «Комитет медицинского и фармацевтического</w:t>
      </w:r>
      <w:r>
        <w:rPr>
          <w:spacing w:val="-10"/>
        </w:rPr>
        <w:t xml:space="preserve"> </w:t>
      </w:r>
      <w:r>
        <w:t>контроля</w:t>
      </w:r>
      <w:r>
        <w:rPr>
          <w:spacing w:val="-10"/>
        </w:rPr>
        <w:t xml:space="preserve"> </w:t>
      </w:r>
      <w:r>
        <w:t>МЗ</w:t>
      </w:r>
      <w:r>
        <w:rPr>
          <w:spacing w:val="-14"/>
        </w:rPr>
        <w:t xml:space="preserve"> </w:t>
      </w:r>
      <w:r>
        <w:t xml:space="preserve">РК» от </w:t>
      </w:r>
      <w:proofErr w:type="gramStart"/>
      <w:r>
        <w:t xml:space="preserve">«  </w:t>
      </w:r>
      <w:proofErr w:type="gramEnd"/>
      <w:r>
        <w:t xml:space="preserve"> »</w:t>
      </w:r>
      <w:r>
        <w:rPr>
          <w:u w:val="single"/>
        </w:rPr>
        <w:tab/>
      </w:r>
      <w:r>
        <w:t>20</w:t>
      </w:r>
      <w:r w:rsidR="00F127F1">
        <w:t>___</w:t>
      </w:r>
      <w:r>
        <w:t>г.</w:t>
      </w:r>
    </w:p>
    <w:p w14:paraId="49283059" w14:textId="71BCED88" w:rsidR="005245B3" w:rsidRDefault="00C3576F">
      <w:pPr>
        <w:pStyle w:val="a3"/>
        <w:spacing w:before="2"/>
        <w:ind w:left="5007"/>
        <w:jc w:val="left"/>
      </w:pPr>
      <w:r>
        <w:t>№</w:t>
      </w:r>
      <w:r>
        <w:rPr>
          <w:spacing w:val="3"/>
        </w:rPr>
        <w:t xml:space="preserve"> </w:t>
      </w:r>
    </w:p>
    <w:p w14:paraId="25D3B142" w14:textId="77777777" w:rsidR="005245B3" w:rsidRDefault="005245B3">
      <w:pPr>
        <w:pStyle w:val="a3"/>
        <w:ind w:left="0"/>
        <w:jc w:val="left"/>
        <w:rPr>
          <w:sz w:val="26"/>
        </w:rPr>
      </w:pPr>
    </w:p>
    <w:p w14:paraId="4543EC2B" w14:textId="77777777" w:rsidR="005245B3" w:rsidRDefault="005245B3">
      <w:pPr>
        <w:pStyle w:val="a3"/>
        <w:spacing w:before="2"/>
        <w:ind w:left="0"/>
        <w:jc w:val="left"/>
        <w:rPr>
          <w:sz w:val="22"/>
        </w:rPr>
      </w:pPr>
    </w:p>
    <w:p w14:paraId="59C81A7E" w14:textId="77777777" w:rsidR="005245B3" w:rsidRDefault="00C3576F">
      <w:pPr>
        <w:pStyle w:val="1"/>
        <w:spacing w:before="1" w:line="240" w:lineRule="auto"/>
        <w:ind w:left="1060" w:firstLine="0"/>
      </w:pPr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ЛЕКАРСТВЕННОГО</w:t>
      </w:r>
      <w:r>
        <w:rPr>
          <w:spacing w:val="-4"/>
        </w:rPr>
        <w:t xml:space="preserve"> </w:t>
      </w:r>
      <w:r>
        <w:rPr>
          <w:spacing w:val="-2"/>
        </w:rPr>
        <w:t>ПРЕПАРАТА</w:t>
      </w:r>
    </w:p>
    <w:p w14:paraId="6CAD2AB0" w14:textId="77777777" w:rsidR="005245B3" w:rsidRDefault="005245B3">
      <w:pPr>
        <w:pStyle w:val="a3"/>
        <w:spacing w:before="11"/>
        <w:ind w:left="0"/>
        <w:jc w:val="left"/>
        <w:rPr>
          <w:b/>
          <w:sz w:val="23"/>
        </w:rPr>
      </w:pPr>
    </w:p>
    <w:p w14:paraId="4A4B96C0" w14:textId="77777777" w:rsidR="005245B3" w:rsidRDefault="00C3576F">
      <w:pPr>
        <w:pStyle w:val="a5"/>
        <w:numPr>
          <w:ilvl w:val="0"/>
          <w:numId w:val="3"/>
        </w:numPr>
        <w:tabs>
          <w:tab w:val="left" w:pos="465"/>
        </w:tabs>
        <w:rPr>
          <w:b/>
          <w:sz w:val="24"/>
        </w:rPr>
      </w:pPr>
      <w:r>
        <w:rPr>
          <w:b/>
          <w:sz w:val="24"/>
        </w:rPr>
        <w:t>НАИМЕНОВАНИЕ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ЛЕКАРСТВЕННОГО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ПРЕПАРАТА</w:t>
      </w:r>
    </w:p>
    <w:p w14:paraId="50E3247B" w14:textId="153E8B4F" w:rsidR="005245B3" w:rsidRDefault="0047700E">
      <w:pPr>
        <w:pStyle w:val="a3"/>
        <w:spacing w:line="275" w:lineRule="exact"/>
        <w:jc w:val="left"/>
      </w:pPr>
      <w:proofErr w:type="spellStart"/>
      <w:r w:rsidRPr="0047700E">
        <w:t>Севроже</w:t>
      </w:r>
      <w:proofErr w:type="spellEnd"/>
      <w:r w:rsidR="00C3576F">
        <w:t>,</w:t>
      </w:r>
      <w:r w:rsidR="00C3576F">
        <w:rPr>
          <w:spacing w:val="-2"/>
        </w:rPr>
        <w:t xml:space="preserve"> </w:t>
      </w:r>
      <w:r w:rsidR="00C3576F">
        <w:t>800</w:t>
      </w:r>
      <w:r w:rsidR="00C3576F">
        <w:rPr>
          <w:spacing w:val="-6"/>
        </w:rPr>
        <w:t xml:space="preserve"> </w:t>
      </w:r>
      <w:r w:rsidR="00C3576F">
        <w:t>мг,</w:t>
      </w:r>
      <w:r w:rsidR="00C3576F">
        <w:rPr>
          <w:spacing w:val="-4"/>
        </w:rPr>
        <w:t xml:space="preserve"> </w:t>
      </w:r>
      <w:r w:rsidR="00C3576F">
        <w:t>таблетки,</w:t>
      </w:r>
      <w:r w:rsidR="00C3576F">
        <w:rPr>
          <w:spacing w:val="1"/>
        </w:rPr>
        <w:t xml:space="preserve"> </w:t>
      </w:r>
      <w:r w:rsidR="00C3576F">
        <w:t>покрытые</w:t>
      </w:r>
      <w:r w:rsidR="00C3576F">
        <w:rPr>
          <w:spacing w:val="-7"/>
        </w:rPr>
        <w:t xml:space="preserve"> </w:t>
      </w:r>
      <w:r w:rsidR="00C3576F">
        <w:t>пленочной</w:t>
      </w:r>
      <w:r w:rsidR="00C3576F">
        <w:rPr>
          <w:spacing w:val="-4"/>
        </w:rPr>
        <w:t xml:space="preserve"> </w:t>
      </w:r>
      <w:r w:rsidR="00C3576F">
        <w:rPr>
          <w:spacing w:val="-2"/>
        </w:rPr>
        <w:t>оболочкой</w:t>
      </w:r>
    </w:p>
    <w:p w14:paraId="34FB6FA1" w14:textId="77777777" w:rsidR="005245B3" w:rsidRDefault="005245B3">
      <w:pPr>
        <w:pStyle w:val="a3"/>
        <w:spacing w:before="5"/>
        <w:ind w:left="0"/>
        <w:jc w:val="left"/>
      </w:pPr>
    </w:p>
    <w:p w14:paraId="2CF65160" w14:textId="77777777" w:rsidR="005245B3" w:rsidRDefault="00C3576F">
      <w:pPr>
        <w:pStyle w:val="1"/>
        <w:numPr>
          <w:ilvl w:val="0"/>
          <w:numId w:val="3"/>
        </w:numPr>
        <w:tabs>
          <w:tab w:val="left" w:pos="465"/>
        </w:tabs>
        <w:spacing w:line="272" w:lineRule="exact"/>
      </w:pPr>
      <w:r>
        <w:t>КАЧЕСТВЕННЫЙ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КОЛИЧЕСТВЕННЫЙ</w:t>
      </w:r>
      <w:r>
        <w:rPr>
          <w:spacing w:val="-5"/>
        </w:rPr>
        <w:t xml:space="preserve"> </w:t>
      </w:r>
      <w:r>
        <w:rPr>
          <w:spacing w:val="-2"/>
        </w:rPr>
        <w:t>СОСТАВ</w:t>
      </w:r>
    </w:p>
    <w:p w14:paraId="009C9A35" w14:textId="77777777" w:rsidR="005245B3" w:rsidRDefault="00C3576F">
      <w:pPr>
        <w:pStyle w:val="a5"/>
        <w:numPr>
          <w:ilvl w:val="1"/>
          <w:numId w:val="3"/>
        </w:numPr>
        <w:tabs>
          <w:tab w:val="left" w:pos="584"/>
        </w:tabs>
        <w:spacing w:line="272" w:lineRule="exact"/>
        <w:ind w:left="584" w:hanging="365"/>
        <w:rPr>
          <w:sz w:val="24"/>
        </w:rPr>
      </w:pPr>
      <w:r>
        <w:rPr>
          <w:sz w:val="24"/>
        </w:rPr>
        <w:t>Общее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описание</w:t>
      </w:r>
    </w:p>
    <w:p w14:paraId="12D49DED" w14:textId="77777777" w:rsidR="005245B3" w:rsidRDefault="00C3576F">
      <w:pPr>
        <w:pStyle w:val="a3"/>
        <w:spacing w:before="2" w:line="275" w:lineRule="exact"/>
        <w:jc w:val="left"/>
      </w:pPr>
      <w:proofErr w:type="spellStart"/>
      <w:r w:rsidRPr="00223BFE">
        <w:t>Севеламера</w:t>
      </w:r>
      <w:proofErr w:type="spellEnd"/>
      <w:r w:rsidRPr="00223BFE">
        <w:rPr>
          <w:spacing w:val="-3"/>
        </w:rPr>
        <w:t xml:space="preserve"> </w:t>
      </w:r>
      <w:r w:rsidRPr="00223BFE">
        <w:t>карбонат</w:t>
      </w:r>
      <w:r w:rsidRPr="00223BFE">
        <w:rPr>
          <w:spacing w:val="2"/>
        </w:rPr>
        <w:t xml:space="preserve"> </w:t>
      </w:r>
      <w:r w:rsidRPr="00223BFE">
        <w:rPr>
          <w:spacing w:val="-2"/>
        </w:rPr>
        <w:t>безводный</w:t>
      </w:r>
    </w:p>
    <w:p w14:paraId="01BB4932" w14:textId="77777777" w:rsidR="005245B3" w:rsidRPr="00E1269E" w:rsidRDefault="00C3576F">
      <w:pPr>
        <w:pStyle w:val="a5"/>
        <w:numPr>
          <w:ilvl w:val="1"/>
          <w:numId w:val="3"/>
        </w:numPr>
        <w:tabs>
          <w:tab w:val="left" w:pos="584"/>
        </w:tabs>
        <w:ind w:left="584" w:hanging="365"/>
        <w:rPr>
          <w:sz w:val="24"/>
        </w:rPr>
      </w:pPr>
      <w:r w:rsidRPr="00E1269E">
        <w:rPr>
          <w:sz w:val="24"/>
        </w:rPr>
        <w:t>Качественный</w:t>
      </w:r>
      <w:r w:rsidRPr="00E1269E">
        <w:rPr>
          <w:spacing w:val="-6"/>
          <w:sz w:val="24"/>
        </w:rPr>
        <w:t xml:space="preserve"> </w:t>
      </w:r>
      <w:r w:rsidRPr="00E1269E">
        <w:rPr>
          <w:sz w:val="24"/>
        </w:rPr>
        <w:t>и</w:t>
      </w:r>
      <w:r w:rsidRPr="00E1269E">
        <w:rPr>
          <w:spacing w:val="-3"/>
          <w:sz w:val="24"/>
        </w:rPr>
        <w:t xml:space="preserve"> </w:t>
      </w:r>
      <w:r w:rsidRPr="00E1269E">
        <w:rPr>
          <w:sz w:val="24"/>
        </w:rPr>
        <w:t>количественный</w:t>
      </w:r>
      <w:r w:rsidRPr="00E1269E">
        <w:rPr>
          <w:spacing w:val="-1"/>
          <w:sz w:val="24"/>
        </w:rPr>
        <w:t xml:space="preserve"> </w:t>
      </w:r>
      <w:r w:rsidRPr="00E1269E">
        <w:rPr>
          <w:spacing w:val="-2"/>
          <w:sz w:val="24"/>
        </w:rPr>
        <w:t>состав</w:t>
      </w:r>
    </w:p>
    <w:p w14:paraId="08F3B5B5" w14:textId="77777777" w:rsidR="005245B3" w:rsidRPr="00E1269E" w:rsidRDefault="00C3576F">
      <w:pPr>
        <w:pStyle w:val="a3"/>
        <w:spacing w:before="3" w:line="275" w:lineRule="exact"/>
        <w:jc w:val="left"/>
      </w:pPr>
      <w:r w:rsidRPr="00E1269E">
        <w:t>Одна</w:t>
      </w:r>
      <w:r w:rsidRPr="00E1269E">
        <w:rPr>
          <w:spacing w:val="-6"/>
        </w:rPr>
        <w:t xml:space="preserve"> </w:t>
      </w:r>
      <w:r w:rsidRPr="00E1269E">
        <w:t>таблетка,</w:t>
      </w:r>
      <w:r w:rsidRPr="00E1269E">
        <w:rPr>
          <w:spacing w:val="-1"/>
        </w:rPr>
        <w:t xml:space="preserve"> </w:t>
      </w:r>
      <w:r w:rsidRPr="00E1269E">
        <w:t>покрытая</w:t>
      </w:r>
      <w:r w:rsidRPr="00E1269E">
        <w:rPr>
          <w:spacing w:val="-3"/>
        </w:rPr>
        <w:t xml:space="preserve"> </w:t>
      </w:r>
      <w:r w:rsidRPr="00E1269E">
        <w:t>пленочной</w:t>
      </w:r>
      <w:r w:rsidRPr="00E1269E">
        <w:rPr>
          <w:spacing w:val="-6"/>
        </w:rPr>
        <w:t xml:space="preserve"> </w:t>
      </w:r>
      <w:r w:rsidRPr="00E1269E">
        <w:t>оболочкой,</w:t>
      </w:r>
      <w:r w:rsidRPr="00E1269E">
        <w:rPr>
          <w:spacing w:val="4"/>
        </w:rPr>
        <w:t xml:space="preserve"> </w:t>
      </w:r>
      <w:r w:rsidRPr="00E1269E">
        <w:rPr>
          <w:spacing w:val="-2"/>
        </w:rPr>
        <w:t>содержит</w:t>
      </w:r>
    </w:p>
    <w:p w14:paraId="088E94DF" w14:textId="77777777" w:rsidR="005245B3" w:rsidRPr="00E1269E" w:rsidRDefault="00C3576F">
      <w:pPr>
        <w:spacing w:line="275" w:lineRule="exact"/>
        <w:ind w:left="219"/>
        <w:rPr>
          <w:sz w:val="24"/>
        </w:rPr>
      </w:pPr>
      <w:r w:rsidRPr="00E1269E">
        <w:rPr>
          <w:i/>
          <w:sz w:val="24"/>
        </w:rPr>
        <w:t>активное</w:t>
      </w:r>
      <w:r w:rsidRPr="00E1269E">
        <w:rPr>
          <w:i/>
          <w:spacing w:val="-3"/>
          <w:sz w:val="24"/>
        </w:rPr>
        <w:t xml:space="preserve"> </w:t>
      </w:r>
      <w:r w:rsidRPr="00E1269E">
        <w:rPr>
          <w:i/>
          <w:sz w:val="24"/>
        </w:rPr>
        <w:t>вещество</w:t>
      </w:r>
      <w:r w:rsidRPr="00E1269E">
        <w:rPr>
          <w:i/>
          <w:spacing w:val="1"/>
          <w:sz w:val="24"/>
        </w:rPr>
        <w:t xml:space="preserve"> </w:t>
      </w:r>
      <w:r w:rsidRPr="00E1269E">
        <w:rPr>
          <w:i/>
          <w:sz w:val="24"/>
        </w:rPr>
        <w:t>–</w:t>
      </w:r>
      <w:r w:rsidRPr="00E1269E">
        <w:rPr>
          <w:i/>
          <w:spacing w:val="-6"/>
          <w:sz w:val="24"/>
        </w:rPr>
        <w:t xml:space="preserve"> </w:t>
      </w:r>
      <w:proofErr w:type="spellStart"/>
      <w:r w:rsidRPr="00E1269E">
        <w:rPr>
          <w:sz w:val="24"/>
        </w:rPr>
        <w:t>севеламера</w:t>
      </w:r>
      <w:proofErr w:type="spellEnd"/>
      <w:r w:rsidRPr="00E1269E">
        <w:rPr>
          <w:spacing w:val="-2"/>
          <w:sz w:val="24"/>
        </w:rPr>
        <w:t xml:space="preserve"> </w:t>
      </w:r>
      <w:r w:rsidRPr="00E1269E">
        <w:rPr>
          <w:sz w:val="24"/>
        </w:rPr>
        <w:t>карбонат</w:t>
      </w:r>
      <w:r w:rsidRPr="00E1269E">
        <w:rPr>
          <w:spacing w:val="-2"/>
          <w:sz w:val="24"/>
        </w:rPr>
        <w:t xml:space="preserve"> </w:t>
      </w:r>
      <w:r w:rsidRPr="00E1269E">
        <w:rPr>
          <w:sz w:val="24"/>
        </w:rPr>
        <w:t>безводный, 800</w:t>
      </w:r>
      <w:r w:rsidRPr="00E1269E">
        <w:rPr>
          <w:spacing w:val="-5"/>
          <w:sz w:val="24"/>
        </w:rPr>
        <w:t xml:space="preserve"> мг.</w:t>
      </w:r>
    </w:p>
    <w:p w14:paraId="3031310B" w14:textId="66B34C14" w:rsidR="00880183" w:rsidRDefault="00880183">
      <w:pPr>
        <w:pStyle w:val="a3"/>
        <w:spacing w:line="274" w:lineRule="exact"/>
      </w:pPr>
      <w:r w:rsidRPr="00880183">
        <w:rPr>
          <w:i/>
          <w:iCs/>
        </w:rPr>
        <w:t>вспомогательные вещества</w:t>
      </w:r>
      <w:r w:rsidRPr="00880183">
        <w:t xml:space="preserve">: </w:t>
      </w:r>
      <w:r w:rsidR="00C96D8B">
        <w:t>н</w:t>
      </w:r>
      <w:r w:rsidR="00C96D8B" w:rsidRPr="00C96D8B">
        <w:t xml:space="preserve">атрия </w:t>
      </w:r>
      <w:proofErr w:type="spellStart"/>
      <w:r w:rsidR="00C96D8B" w:rsidRPr="00C96D8B">
        <w:t>стеарил</w:t>
      </w:r>
      <w:proofErr w:type="spellEnd"/>
      <w:r w:rsidR="00C96D8B" w:rsidRPr="00C96D8B">
        <w:t xml:space="preserve"> </w:t>
      </w:r>
      <w:proofErr w:type="spellStart"/>
      <w:r w:rsidR="00C96D8B" w:rsidRPr="00C96D8B">
        <w:t>фумарат</w:t>
      </w:r>
      <w:proofErr w:type="spellEnd"/>
      <w:r w:rsidR="00C96D8B">
        <w:t xml:space="preserve"> </w:t>
      </w:r>
      <w:r w:rsidR="00C96D8B" w:rsidRPr="00C96D8B">
        <w:t>10.00</w:t>
      </w:r>
      <w:r w:rsidR="00C96D8B">
        <w:t xml:space="preserve"> мг/табл.</w:t>
      </w:r>
    </w:p>
    <w:p w14:paraId="3D041E95" w14:textId="7B7E1D26" w:rsidR="005245B3" w:rsidRDefault="00C3576F">
      <w:pPr>
        <w:pStyle w:val="a3"/>
        <w:spacing w:line="274" w:lineRule="exact"/>
      </w:pPr>
      <w:r>
        <w:t>Полный</w:t>
      </w:r>
      <w:r>
        <w:rPr>
          <w:spacing w:val="-1"/>
        </w:rPr>
        <w:t xml:space="preserve"> </w:t>
      </w:r>
      <w:r>
        <w:t>список</w:t>
      </w:r>
      <w:r>
        <w:rPr>
          <w:spacing w:val="-7"/>
        </w:rPr>
        <w:t xml:space="preserve"> </w:t>
      </w:r>
      <w:r>
        <w:t>вспомогательных</w:t>
      </w:r>
      <w:r>
        <w:rPr>
          <w:spacing w:val="-6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см.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пункте</w:t>
      </w:r>
      <w:r>
        <w:rPr>
          <w:spacing w:val="-1"/>
        </w:rPr>
        <w:t xml:space="preserve"> </w:t>
      </w:r>
      <w:r>
        <w:rPr>
          <w:spacing w:val="-4"/>
        </w:rPr>
        <w:t>6.1.</w:t>
      </w:r>
    </w:p>
    <w:p w14:paraId="621611A5" w14:textId="77777777" w:rsidR="005245B3" w:rsidRDefault="005245B3">
      <w:pPr>
        <w:pStyle w:val="a3"/>
        <w:spacing w:before="5"/>
        <w:ind w:left="0"/>
        <w:jc w:val="left"/>
      </w:pPr>
    </w:p>
    <w:p w14:paraId="03AFC6C7" w14:textId="77777777" w:rsidR="005245B3" w:rsidRDefault="00C3576F">
      <w:pPr>
        <w:pStyle w:val="1"/>
        <w:numPr>
          <w:ilvl w:val="0"/>
          <w:numId w:val="3"/>
        </w:numPr>
        <w:tabs>
          <w:tab w:val="left" w:pos="465"/>
        </w:tabs>
      </w:pPr>
      <w:r>
        <w:t>ЛЕКАРСТВЕННАЯ</w:t>
      </w:r>
      <w:r>
        <w:rPr>
          <w:spacing w:val="-15"/>
        </w:rPr>
        <w:t xml:space="preserve"> </w:t>
      </w:r>
      <w:r>
        <w:rPr>
          <w:spacing w:val="-4"/>
        </w:rPr>
        <w:t>ФОРМА</w:t>
      </w:r>
    </w:p>
    <w:p w14:paraId="09697FFC" w14:textId="20DA83B3" w:rsidR="005245B3" w:rsidRDefault="00C3576F">
      <w:pPr>
        <w:pStyle w:val="a3"/>
        <w:spacing w:line="274" w:lineRule="exact"/>
        <w:rPr>
          <w:spacing w:val="-2"/>
        </w:rPr>
      </w:pPr>
      <w:r>
        <w:t>Таблетки,</w:t>
      </w:r>
      <w:r>
        <w:rPr>
          <w:spacing w:val="-2"/>
        </w:rPr>
        <w:t xml:space="preserve"> </w:t>
      </w:r>
      <w:r>
        <w:t>покрытые</w:t>
      </w:r>
      <w:r>
        <w:rPr>
          <w:spacing w:val="-5"/>
        </w:rPr>
        <w:t xml:space="preserve"> </w:t>
      </w:r>
      <w:r>
        <w:t>пленочной</w:t>
      </w:r>
      <w:r>
        <w:rPr>
          <w:spacing w:val="-7"/>
        </w:rPr>
        <w:t xml:space="preserve"> </w:t>
      </w:r>
      <w:r>
        <w:rPr>
          <w:spacing w:val="-2"/>
        </w:rPr>
        <w:t>оболочкой.</w:t>
      </w:r>
    </w:p>
    <w:p w14:paraId="20963003" w14:textId="257E94BB" w:rsidR="00321AC2" w:rsidRDefault="0047700E" w:rsidP="00321AC2">
      <w:pPr>
        <w:pStyle w:val="a3"/>
        <w:spacing w:line="274" w:lineRule="exact"/>
      </w:pPr>
      <w:r w:rsidRPr="0047700E">
        <w:t>Таблетки овальной формы, покрытые пленочной оболочкой от белого до почти белого цвета, с гравировками «NAV» на одной стороне и «109» с другой стороны</w:t>
      </w:r>
      <w:r w:rsidR="00321AC2">
        <w:t>.</w:t>
      </w:r>
    </w:p>
    <w:p w14:paraId="03E94FBB" w14:textId="77777777" w:rsidR="005245B3" w:rsidRDefault="005245B3">
      <w:pPr>
        <w:pStyle w:val="a3"/>
        <w:spacing w:before="1"/>
        <w:ind w:left="0"/>
        <w:jc w:val="left"/>
      </w:pPr>
    </w:p>
    <w:p w14:paraId="28A47780" w14:textId="77777777" w:rsidR="005245B3" w:rsidRPr="0047700E" w:rsidRDefault="00C3576F">
      <w:pPr>
        <w:pStyle w:val="1"/>
        <w:numPr>
          <w:ilvl w:val="0"/>
          <w:numId w:val="3"/>
        </w:numPr>
        <w:tabs>
          <w:tab w:val="left" w:pos="465"/>
        </w:tabs>
      </w:pPr>
      <w:r w:rsidRPr="0047700E">
        <w:t>КЛИНИЧЕСКИЕ</w:t>
      </w:r>
      <w:r w:rsidRPr="0047700E">
        <w:rPr>
          <w:spacing w:val="-7"/>
        </w:rPr>
        <w:t xml:space="preserve"> </w:t>
      </w:r>
      <w:r w:rsidRPr="0047700E">
        <w:rPr>
          <w:spacing w:val="-2"/>
        </w:rPr>
        <w:t>ДАННЫЕ</w:t>
      </w:r>
    </w:p>
    <w:p w14:paraId="488936AD" w14:textId="77777777" w:rsidR="005245B3" w:rsidRDefault="00C3576F">
      <w:pPr>
        <w:pStyle w:val="2"/>
        <w:numPr>
          <w:ilvl w:val="1"/>
          <w:numId w:val="3"/>
        </w:numPr>
        <w:tabs>
          <w:tab w:val="left" w:pos="585"/>
        </w:tabs>
        <w:spacing w:line="274" w:lineRule="exact"/>
      </w:pPr>
      <w:bookmarkStart w:id="1" w:name="4.1_Показания_к_применению"/>
      <w:bookmarkEnd w:id="1"/>
      <w:r>
        <w:t>Показания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применению</w:t>
      </w:r>
    </w:p>
    <w:p w14:paraId="53036822" w14:textId="77777777" w:rsidR="005245B3" w:rsidRDefault="00C3576F">
      <w:pPr>
        <w:pStyle w:val="a5"/>
        <w:numPr>
          <w:ilvl w:val="2"/>
          <w:numId w:val="3"/>
        </w:numPr>
        <w:tabs>
          <w:tab w:val="left" w:pos="389"/>
        </w:tabs>
        <w:spacing w:before="1" w:line="237" w:lineRule="auto"/>
        <w:ind w:right="238" w:firstLine="0"/>
        <w:rPr>
          <w:sz w:val="24"/>
        </w:rPr>
      </w:pPr>
      <w:r>
        <w:rPr>
          <w:sz w:val="24"/>
        </w:rPr>
        <w:t xml:space="preserve">контроль </w:t>
      </w:r>
      <w:proofErr w:type="spellStart"/>
      <w:r>
        <w:rPr>
          <w:sz w:val="24"/>
        </w:rPr>
        <w:t>гиперфосфатемии</w:t>
      </w:r>
      <w:proofErr w:type="spellEnd"/>
      <w:r>
        <w:rPr>
          <w:sz w:val="24"/>
        </w:rPr>
        <w:t xml:space="preserve"> у взрослых пациентов, находящихся на гемодиализе или </w:t>
      </w:r>
      <w:proofErr w:type="spellStart"/>
      <w:r>
        <w:rPr>
          <w:sz w:val="24"/>
        </w:rPr>
        <w:t>перитонеальном</w:t>
      </w:r>
      <w:proofErr w:type="spellEnd"/>
      <w:r>
        <w:rPr>
          <w:sz w:val="24"/>
        </w:rPr>
        <w:t xml:space="preserve"> диализе;</w:t>
      </w:r>
    </w:p>
    <w:p w14:paraId="44BEBFA9" w14:textId="4963F60F" w:rsidR="005245B3" w:rsidRPr="0066775A" w:rsidRDefault="00C3576F">
      <w:pPr>
        <w:pStyle w:val="a5"/>
        <w:numPr>
          <w:ilvl w:val="2"/>
          <w:numId w:val="3"/>
        </w:numPr>
        <w:tabs>
          <w:tab w:val="left" w:pos="369"/>
        </w:tabs>
        <w:spacing w:before="6" w:line="237" w:lineRule="auto"/>
        <w:ind w:right="234" w:firstLine="0"/>
        <w:rPr>
          <w:i/>
          <w:sz w:val="24"/>
        </w:rPr>
      </w:pPr>
      <w:r w:rsidRPr="0066775A">
        <w:rPr>
          <w:sz w:val="24"/>
        </w:rPr>
        <w:t xml:space="preserve">контроль </w:t>
      </w:r>
      <w:proofErr w:type="spellStart"/>
      <w:r w:rsidRPr="0066775A">
        <w:rPr>
          <w:sz w:val="24"/>
        </w:rPr>
        <w:t>гиперфосфатемии</w:t>
      </w:r>
      <w:proofErr w:type="spellEnd"/>
      <w:r w:rsidRPr="0066775A">
        <w:rPr>
          <w:sz w:val="24"/>
        </w:rPr>
        <w:t xml:space="preserve"> при хронической болезни почек у</w:t>
      </w:r>
      <w:r w:rsidRPr="0066775A">
        <w:rPr>
          <w:spacing w:val="-5"/>
          <w:sz w:val="24"/>
        </w:rPr>
        <w:t xml:space="preserve"> </w:t>
      </w:r>
      <w:r w:rsidRPr="0066775A">
        <w:rPr>
          <w:sz w:val="24"/>
        </w:rPr>
        <w:t>взрослых пациентов, не находящихся на диализе</w:t>
      </w:r>
      <w:r w:rsidR="002C0F43" w:rsidRPr="0066775A">
        <w:rPr>
          <w:sz w:val="24"/>
        </w:rPr>
        <w:t xml:space="preserve">, </w:t>
      </w:r>
      <w:r w:rsidR="002C0F43" w:rsidRPr="0066775A">
        <w:rPr>
          <w:sz w:val="24"/>
          <w:szCs w:val="24"/>
        </w:rPr>
        <w:t>с уровнем фосфора в сыворотке крови</w:t>
      </w:r>
      <w:r w:rsidRPr="0066775A">
        <w:rPr>
          <w:sz w:val="24"/>
        </w:rPr>
        <w:t xml:space="preserve"> ≥ 1,78 ммоль/л;</w:t>
      </w:r>
    </w:p>
    <w:p w14:paraId="64CB9208" w14:textId="77777777" w:rsidR="005245B3" w:rsidRDefault="00C3576F">
      <w:pPr>
        <w:pStyle w:val="a5"/>
        <w:numPr>
          <w:ilvl w:val="2"/>
          <w:numId w:val="3"/>
        </w:numPr>
        <w:tabs>
          <w:tab w:val="left" w:pos="422"/>
        </w:tabs>
        <w:spacing w:before="4" w:line="240" w:lineRule="auto"/>
        <w:ind w:right="231" w:firstLine="0"/>
        <w:rPr>
          <w:sz w:val="24"/>
        </w:rPr>
      </w:pPr>
      <w:r>
        <w:rPr>
          <w:sz w:val="24"/>
        </w:rPr>
        <w:t xml:space="preserve">в контексте множественного терапевтического подхода, который может включать </w:t>
      </w:r>
      <w:r>
        <w:rPr>
          <w:position w:val="2"/>
          <w:sz w:val="24"/>
        </w:rPr>
        <w:t>кальциевые добавки, 1,25-дигидрокси витамина D</w:t>
      </w:r>
      <w:r>
        <w:rPr>
          <w:sz w:val="16"/>
        </w:rPr>
        <w:t>3</w:t>
      </w:r>
      <w:r>
        <w:rPr>
          <w:spacing w:val="40"/>
          <w:sz w:val="16"/>
        </w:rPr>
        <w:t xml:space="preserve"> </w:t>
      </w:r>
      <w:r>
        <w:rPr>
          <w:position w:val="2"/>
          <w:sz w:val="24"/>
        </w:rPr>
        <w:t xml:space="preserve">или один из его аналогов для </w:t>
      </w:r>
      <w:r>
        <w:rPr>
          <w:sz w:val="24"/>
        </w:rPr>
        <w:t>контроля развития почечной остеодистрофии.</w:t>
      </w:r>
    </w:p>
    <w:p w14:paraId="70AE1C5D" w14:textId="77777777" w:rsidR="005245B3" w:rsidRDefault="005245B3">
      <w:pPr>
        <w:pStyle w:val="a3"/>
        <w:spacing w:before="4"/>
        <w:ind w:left="0"/>
        <w:jc w:val="left"/>
      </w:pPr>
    </w:p>
    <w:p w14:paraId="6283055B" w14:textId="77777777" w:rsidR="005245B3" w:rsidRDefault="00C3576F">
      <w:pPr>
        <w:pStyle w:val="2"/>
        <w:numPr>
          <w:ilvl w:val="1"/>
          <w:numId w:val="3"/>
        </w:numPr>
        <w:tabs>
          <w:tab w:val="left" w:pos="584"/>
        </w:tabs>
        <w:spacing w:line="237" w:lineRule="auto"/>
        <w:ind w:left="219" w:right="4405" w:firstLine="0"/>
      </w:pPr>
      <w:r>
        <w:t>Режим</w:t>
      </w:r>
      <w:r>
        <w:rPr>
          <w:spacing w:val="-8"/>
        </w:rPr>
        <w:t xml:space="preserve"> </w:t>
      </w:r>
      <w:r>
        <w:t>дозирования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способ</w:t>
      </w:r>
      <w:r>
        <w:rPr>
          <w:spacing w:val="-12"/>
        </w:rPr>
        <w:t xml:space="preserve"> </w:t>
      </w:r>
      <w:r>
        <w:t>применения Режим дозирования</w:t>
      </w:r>
    </w:p>
    <w:p w14:paraId="577171B6" w14:textId="77777777" w:rsidR="005245B3" w:rsidRDefault="00C3576F">
      <w:pPr>
        <w:spacing w:line="274" w:lineRule="exact"/>
        <w:ind w:left="219"/>
        <w:jc w:val="both"/>
        <w:rPr>
          <w:i/>
          <w:sz w:val="24"/>
        </w:rPr>
      </w:pPr>
      <w:r>
        <w:rPr>
          <w:i/>
          <w:sz w:val="24"/>
        </w:rPr>
        <w:t>Стартовая</w:t>
      </w:r>
      <w:r>
        <w:rPr>
          <w:i/>
          <w:spacing w:val="-5"/>
          <w:sz w:val="24"/>
        </w:rPr>
        <w:t xml:space="preserve"> </w:t>
      </w:r>
      <w:r>
        <w:rPr>
          <w:i/>
          <w:spacing w:val="-4"/>
          <w:sz w:val="24"/>
        </w:rPr>
        <w:t>доза</w:t>
      </w:r>
    </w:p>
    <w:p w14:paraId="36244469" w14:textId="41748BD7" w:rsidR="005245B3" w:rsidRDefault="00C3576F">
      <w:pPr>
        <w:pStyle w:val="a3"/>
        <w:ind w:right="236"/>
      </w:pPr>
      <w:r>
        <w:t>Рекомендуемая</w:t>
      </w:r>
      <w:r>
        <w:rPr>
          <w:spacing w:val="-1"/>
        </w:rPr>
        <w:t xml:space="preserve"> </w:t>
      </w:r>
      <w:r>
        <w:t>стартовая</w:t>
      </w:r>
      <w:r>
        <w:rPr>
          <w:spacing w:val="-1"/>
        </w:rPr>
        <w:t xml:space="preserve"> </w:t>
      </w:r>
      <w:r>
        <w:t>доза</w:t>
      </w:r>
      <w:r>
        <w:rPr>
          <w:spacing w:val="-2"/>
        </w:rPr>
        <w:t xml:space="preserve"> </w:t>
      </w:r>
      <w:proofErr w:type="spellStart"/>
      <w:r>
        <w:t>севеламера</w:t>
      </w:r>
      <w:proofErr w:type="spellEnd"/>
      <w:r>
        <w:rPr>
          <w:spacing w:val="-2"/>
        </w:rPr>
        <w:t xml:space="preserve"> </w:t>
      </w:r>
      <w:r>
        <w:t>карбоната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2.4</w:t>
      </w:r>
      <w:r>
        <w:rPr>
          <w:spacing w:val="-1"/>
        </w:rPr>
        <w:t xml:space="preserve"> </w:t>
      </w:r>
      <w:r>
        <w:t>г</w:t>
      </w:r>
      <w:r>
        <w:rPr>
          <w:spacing w:val="-4"/>
        </w:rPr>
        <w:t xml:space="preserve"> </w:t>
      </w:r>
      <w:r>
        <w:t>или 4.8</w:t>
      </w:r>
      <w:r>
        <w:rPr>
          <w:spacing w:val="-1"/>
        </w:rPr>
        <w:t xml:space="preserve"> </w:t>
      </w:r>
      <w:r>
        <w:t>г</w:t>
      </w:r>
      <w:r>
        <w:rPr>
          <w:spacing w:val="-4"/>
        </w:rPr>
        <w:t xml:space="preserve"> </w:t>
      </w:r>
      <w:r>
        <w:t xml:space="preserve">в сутки в зависимости от клинической необходимости и уровня фосфора в сыворотке крови. Препарат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следует принимать 3 раза в день во время еды.</w:t>
      </w:r>
    </w:p>
    <w:p w14:paraId="28613C33" w14:textId="77777777" w:rsidR="005245B3" w:rsidRDefault="00C3576F">
      <w:pPr>
        <w:pStyle w:val="a3"/>
        <w:spacing w:before="4" w:after="11" w:line="237" w:lineRule="auto"/>
        <w:ind w:right="235"/>
      </w:pPr>
      <w:r>
        <w:t xml:space="preserve">Для расчета стартовой дозы рекомендуется следующий режим дозирования и </w:t>
      </w:r>
      <w:r>
        <w:rPr>
          <w:spacing w:val="-2"/>
        </w:rPr>
        <w:t>комбинации:</w:t>
      </w: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8"/>
        <w:gridCol w:w="5124"/>
      </w:tblGrid>
      <w:tr w:rsidR="005245B3" w14:paraId="6D8A6C84" w14:textId="77777777">
        <w:trPr>
          <w:trHeight w:val="552"/>
        </w:trPr>
        <w:tc>
          <w:tcPr>
            <w:tcW w:w="4058" w:type="dxa"/>
          </w:tcPr>
          <w:p w14:paraId="354F3204" w14:textId="77777777" w:rsidR="005245B3" w:rsidRDefault="00C3576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фосфора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сыворотке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крови</w:t>
            </w:r>
          </w:p>
          <w:p w14:paraId="3A3E93DA" w14:textId="77777777" w:rsidR="005245B3" w:rsidRDefault="00C3576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пациентов</w:t>
            </w:r>
          </w:p>
        </w:tc>
        <w:tc>
          <w:tcPr>
            <w:tcW w:w="5124" w:type="dxa"/>
          </w:tcPr>
          <w:p w14:paraId="0DBAE837" w14:textId="77777777" w:rsidR="005245B3" w:rsidRDefault="00C3576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суточная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доза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севеламера</w:t>
            </w:r>
            <w:proofErr w:type="spellEnd"/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карбоната,</w:t>
            </w:r>
          </w:p>
          <w:p w14:paraId="566B4D89" w14:textId="77777777" w:rsidR="005245B3" w:rsidRDefault="00C3576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принимаемая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еды</w:t>
            </w:r>
          </w:p>
        </w:tc>
      </w:tr>
      <w:tr w:rsidR="005245B3" w14:paraId="2380A10E" w14:textId="77777777">
        <w:trPr>
          <w:trHeight w:val="273"/>
        </w:trPr>
        <w:tc>
          <w:tcPr>
            <w:tcW w:w="4058" w:type="dxa"/>
          </w:tcPr>
          <w:p w14:paraId="7271E56F" w14:textId="77777777" w:rsidR="005245B3" w:rsidRDefault="00C3576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1.78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2.42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>/л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(5.5- 7.5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мг/</w:t>
            </w:r>
            <w:proofErr w:type="spellStart"/>
            <w:r>
              <w:rPr>
                <w:spacing w:val="-2"/>
                <w:sz w:val="24"/>
              </w:rPr>
              <w:t>дл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5124" w:type="dxa"/>
          </w:tcPr>
          <w:p w14:paraId="167BB94E" w14:textId="77777777" w:rsidR="005245B3" w:rsidRDefault="00C3576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2.4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г*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таблетке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день)</w:t>
            </w:r>
          </w:p>
        </w:tc>
      </w:tr>
      <w:tr w:rsidR="005245B3" w14:paraId="1D4D2DF8" w14:textId="77777777">
        <w:trPr>
          <w:trHeight w:val="278"/>
        </w:trPr>
        <w:tc>
          <w:tcPr>
            <w:tcW w:w="4058" w:type="dxa"/>
          </w:tcPr>
          <w:p w14:paraId="18AF6703" w14:textId="77777777" w:rsidR="005245B3" w:rsidRDefault="00C3576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&gt;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2.42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ммоль</w:t>
            </w:r>
            <w:proofErr w:type="spellEnd"/>
            <w:r>
              <w:rPr>
                <w:sz w:val="24"/>
              </w:rPr>
              <w:t>/л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(&gt;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мг/</w:t>
            </w:r>
            <w:proofErr w:type="spellStart"/>
            <w:r>
              <w:rPr>
                <w:spacing w:val="-2"/>
                <w:sz w:val="24"/>
              </w:rPr>
              <w:t>дл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5124" w:type="dxa"/>
          </w:tcPr>
          <w:p w14:paraId="1C0F9829" w14:textId="77777777" w:rsidR="005245B3" w:rsidRDefault="00C3576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г* (по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день)</w:t>
            </w:r>
          </w:p>
        </w:tc>
      </w:tr>
    </w:tbl>
    <w:p w14:paraId="3BB001C8" w14:textId="159229D3" w:rsidR="00BF6945" w:rsidRDefault="00C3576F">
      <w:pPr>
        <w:pStyle w:val="a3"/>
        <w:spacing w:before="65"/>
        <w:ind w:right="231"/>
      </w:pPr>
      <w:r>
        <w:t>*</w:t>
      </w:r>
      <w:r>
        <w:rPr>
          <w:spacing w:val="-2"/>
        </w:rPr>
        <w:t xml:space="preserve"> </w:t>
      </w:r>
      <w:r>
        <w:t>плюс</w:t>
      </w:r>
      <w:r>
        <w:rPr>
          <w:spacing w:val="-6"/>
        </w:rPr>
        <w:t xml:space="preserve"> </w:t>
      </w:r>
      <w:r>
        <w:t>последующее</w:t>
      </w:r>
      <w:r>
        <w:rPr>
          <w:spacing w:val="-1"/>
        </w:rPr>
        <w:t xml:space="preserve"> </w:t>
      </w:r>
      <w:r>
        <w:t>титрование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инструкцией</w:t>
      </w:r>
    </w:p>
    <w:p w14:paraId="2685858D" w14:textId="654F8D0C" w:rsidR="005245B3" w:rsidRDefault="00C3576F">
      <w:pPr>
        <w:pStyle w:val="a3"/>
        <w:spacing w:before="65"/>
        <w:ind w:right="231"/>
      </w:pPr>
      <w:r>
        <w:t xml:space="preserve">Для пациентов, ранее получавших </w:t>
      </w:r>
      <w:proofErr w:type="spellStart"/>
      <w:r>
        <w:t>фосфатсвязывающие</w:t>
      </w:r>
      <w:proofErr w:type="spellEnd"/>
      <w:r>
        <w:t xml:space="preserve"> препараты (</w:t>
      </w:r>
      <w:proofErr w:type="spellStart"/>
      <w:r>
        <w:t>севеламера</w:t>
      </w:r>
      <w:proofErr w:type="spellEnd"/>
      <w:r>
        <w:t xml:space="preserve"> гидрохлорид или препараты на основе кальция), лекарственное средство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следует назначать в перерасчете грамм на грамм с контролем уровня фосфора в сыворотке крови для обеспечения оптимальных суточных доз.</w:t>
      </w:r>
    </w:p>
    <w:p w14:paraId="6B613415" w14:textId="77777777" w:rsidR="005245B3" w:rsidRDefault="00C3576F">
      <w:pPr>
        <w:spacing w:before="1" w:line="275" w:lineRule="exact"/>
        <w:ind w:left="219"/>
        <w:jc w:val="both"/>
        <w:rPr>
          <w:i/>
          <w:sz w:val="24"/>
        </w:rPr>
      </w:pPr>
      <w:r>
        <w:rPr>
          <w:i/>
          <w:sz w:val="24"/>
        </w:rPr>
        <w:lastRenderedPageBreak/>
        <w:t>Титрование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pacing w:val="-2"/>
          <w:sz w:val="24"/>
        </w:rPr>
        <w:t>поддержание</w:t>
      </w:r>
    </w:p>
    <w:p w14:paraId="0B17FCDF" w14:textId="77777777" w:rsidR="005245B3" w:rsidRDefault="00C3576F">
      <w:pPr>
        <w:pStyle w:val="a3"/>
        <w:ind w:right="229"/>
      </w:pPr>
      <w:r>
        <w:t xml:space="preserve">Уровень фосфора в сыворотке крови должен контролироваться. Доза </w:t>
      </w:r>
      <w:proofErr w:type="spellStart"/>
      <w:r>
        <w:t>севеламера</w:t>
      </w:r>
      <w:proofErr w:type="spellEnd"/>
      <w:r>
        <w:t xml:space="preserve"> карбоната, титрованная до 0.8 г три раза в день (2.4 г в день), должна увеличиваться каждые 2-4</w:t>
      </w:r>
      <w:r>
        <w:rPr>
          <w:spacing w:val="-2"/>
        </w:rPr>
        <w:t xml:space="preserve"> </w:t>
      </w:r>
      <w:r>
        <w:t>недели, пока</w:t>
      </w:r>
      <w:r>
        <w:rPr>
          <w:spacing w:val="-3"/>
        </w:rPr>
        <w:t xml:space="preserve"> </w:t>
      </w:r>
      <w:r>
        <w:t>не будет достигнут приемлемый</w:t>
      </w:r>
      <w:r>
        <w:rPr>
          <w:spacing w:val="-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фосфора</w:t>
      </w:r>
      <w:r>
        <w:rPr>
          <w:spacing w:val="-3"/>
        </w:rPr>
        <w:t xml:space="preserve"> </w:t>
      </w:r>
      <w:r>
        <w:t>в сыворотке крови с регулярным последующим мониторингом.</w:t>
      </w:r>
    </w:p>
    <w:p w14:paraId="324CB893" w14:textId="1A22C4F4" w:rsidR="005245B3" w:rsidRDefault="00C3576F">
      <w:pPr>
        <w:pStyle w:val="a3"/>
        <w:spacing w:line="242" w:lineRule="auto"/>
        <w:ind w:right="231"/>
      </w:pPr>
      <w:r>
        <w:t xml:space="preserve">Пациенты, принимающие препарат </w:t>
      </w:r>
      <w:proofErr w:type="spellStart"/>
      <w:r w:rsidR="00AB5FB6" w:rsidRPr="0047700E">
        <w:t>Севроже</w:t>
      </w:r>
      <w:proofErr w:type="spellEnd"/>
      <w:r>
        <w:t>, должны придерживаться установленной для них диеты.</w:t>
      </w:r>
    </w:p>
    <w:p w14:paraId="4451B6C5" w14:textId="77777777" w:rsidR="005245B3" w:rsidRDefault="00C3576F">
      <w:pPr>
        <w:spacing w:line="271" w:lineRule="exact"/>
        <w:ind w:left="219"/>
        <w:jc w:val="both"/>
        <w:rPr>
          <w:i/>
          <w:sz w:val="24"/>
        </w:rPr>
      </w:pPr>
      <w:r>
        <w:rPr>
          <w:i/>
          <w:sz w:val="24"/>
        </w:rPr>
        <w:t>Длительность</w:t>
      </w:r>
      <w:r>
        <w:rPr>
          <w:i/>
          <w:spacing w:val="-2"/>
          <w:sz w:val="24"/>
        </w:rPr>
        <w:t xml:space="preserve"> лечения</w:t>
      </w:r>
    </w:p>
    <w:p w14:paraId="0DDD7577" w14:textId="77777777" w:rsidR="005245B3" w:rsidRDefault="00C3576F">
      <w:pPr>
        <w:pStyle w:val="a3"/>
        <w:spacing w:before="1"/>
        <w:ind w:right="234"/>
      </w:pPr>
      <w:r>
        <w:t>Лечение</w:t>
      </w:r>
      <w:r>
        <w:rPr>
          <w:spacing w:val="-4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непрерывным,</w:t>
      </w:r>
      <w:r>
        <w:rPr>
          <w:spacing w:val="-1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уровень фосфора в сыворотке крови. Суточная доза, как ожидается, будет в среднем приблизительно 6 г в день.</w:t>
      </w:r>
    </w:p>
    <w:p w14:paraId="03F01E2A" w14:textId="77777777" w:rsidR="005245B3" w:rsidRDefault="00C3576F">
      <w:pPr>
        <w:pStyle w:val="2"/>
        <w:spacing w:before="2"/>
        <w:jc w:val="left"/>
      </w:pPr>
      <w:r>
        <w:t>Особые</w:t>
      </w:r>
      <w:r>
        <w:rPr>
          <w:spacing w:val="1"/>
        </w:rPr>
        <w:t xml:space="preserve"> </w:t>
      </w:r>
      <w:r>
        <w:t>группы</w:t>
      </w:r>
      <w:r>
        <w:rPr>
          <w:spacing w:val="-2"/>
        </w:rPr>
        <w:t xml:space="preserve"> пациентов</w:t>
      </w:r>
    </w:p>
    <w:p w14:paraId="2DC1F31F" w14:textId="77777777" w:rsidR="005245B3" w:rsidRDefault="00C3576F">
      <w:pPr>
        <w:spacing w:line="274" w:lineRule="exact"/>
        <w:ind w:left="219"/>
        <w:rPr>
          <w:i/>
          <w:sz w:val="24"/>
        </w:rPr>
      </w:pPr>
      <w:bookmarkStart w:id="2" w:name="Дети"/>
      <w:bookmarkEnd w:id="2"/>
      <w:r>
        <w:rPr>
          <w:i/>
          <w:spacing w:val="-4"/>
          <w:sz w:val="24"/>
        </w:rPr>
        <w:t>Дети</w:t>
      </w:r>
    </w:p>
    <w:p w14:paraId="0498B924" w14:textId="460DED69" w:rsidR="005245B3" w:rsidRDefault="00C3576F">
      <w:pPr>
        <w:pStyle w:val="a3"/>
        <w:ind w:right="231"/>
      </w:pPr>
      <w:r>
        <w:t xml:space="preserve">Безопасность и эффективность препарата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у</w:t>
      </w:r>
      <w:r>
        <w:rPr>
          <w:spacing w:val="-1"/>
        </w:rPr>
        <w:t xml:space="preserve"> </w:t>
      </w:r>
      <w:r>
        <w:t>детей в возрасте до 6 лет</w:t>
      </w:r>
      <w:r>
        <w:rPr>
          <w:spacing w:val="14"/>
        </w:rPr>
        <w:t xml:space="preserve"> </w:t>
      </w:r>
      <w:r>
        <w:t>и у</w:t>
      </w:r>
      <w:r>
        <w:rPr>
          <w:spacing w:val="-1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с площадью поверхности тела менее 0.75 м</w:t>
      </w:r>
      <w:r>
        <w:rPr>
          <w:vertAlign w:val="superscript"/>
        </w:rPr>
        <w:t>2</w:t>
      </w:r>
      <w:r>
        <w:t xml:space="preserve"> не установлена. Доступные данные </w:t>
      </w:r>
      <w:r>
        <w:rPr>
          <w:spacing w:val="-2"/>
        </w:rPr>
        <w:t>отсутствуют.</w:t>
      </w:r>
    </w:p>
    <w:p w14:paraId="72035B7D" w14:textId="2BAA1E86" w:rsidR="005245B3" w:rsidRDefault="00C3576F">
      <w:pPr>
        <w:pStyle w:val="a3"/>
        <w:spacing w:before="2"/>
        <w:ind w:right="224"/>
      </w:pPr>
      <w:r>
        <w:t xml:space="preserve">Безопасность и эффективность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у детей в возрасте старше 6 лет или у детей с площадью поверхности </w:t>
      </w:r>
      <w:proofErr w:type="gramStart"/>
      <w:r>
        <w:t>тела &gt;</w:t>
      </w:r>
      <w:proofErr w:type="gramEnd"/>
      <w:r>
        <w:t xml:space="preserve"> 0.75 м</w:t>
      </w:r>
      <w:r>
        <w:rPr>
          <w:vertAlign w:val="superscript"/>
        </w:rPr>
        <w:t>2</w:t>
      </w:r>
      <w:r>
        <w:t xml:space="preserve"> была установлена. Доступные данные см. в разделе 5.1.</w:t>
      </w:r>
    </w:p>
    <w:p w14:paraId="05D9BA35" w14:textId="77777777" w:rsidR="005245B3" w:rsidRDefault="00C3576F">
      <w:pPr>
        <w:pStyle w:val="a3"/>
        <w:spacing w:line="242" w:lineRule="auto"/>
        <w:ind w:right="228"/>
      </w:pPr>
      <w:r>
        <w:t>Для пациентов детского возраста назначают суспензию для перорального применения, т.к. таблетки для данной группы пациентов не подходят.</w:t>
      </w:r>
    </w:p>
    <w:p w14:paraId="0CC93708" w14:textId="77777777" w:rsidR="005245B3" w:rsidRDefault="00C3576F">
      <w:pPr>
        <w:spacing w:line="271" w:lineRule="exact"/>
        <w:ind w:left="219"/>
        <w:rPr>
          <w:i/>
          <w:sz w:val="24"/>
        </w:rPr>
      </w:pPr>
      <w:bookmarkStart w:id="3" w:name="Пациенты_пожилого_возраста"/>
      <w:bookmarkEnd w:id="3"/>
      <w:r>
        <w:rPr>
          <w:i/>
          <w:sz w:val="24"/>
        </w:rPr>
        <w:t>Пациенты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пожилого</w:t>
      </w:r>
      <w:r>
        <w:rPr>
          <w:i/>
          <w:spacing w:val="-2"/>
          <w:sz w:val="24"/>
        </w:rPr>
        <w:t xml:space="preserve"> возраста</w:t>
      </w:r>
    </w:p>
    <w:p w14:paraId="1E50F517" w14:textId="77777777" w:rsidR="005245B3" w:rsidRDefault="00C3576F">
      <w:pPr>
        <w:pStyle w:val="a3"/>
        <w:spacing w:line="275" w:lineRule="exact"/>
        <w:jc w:val="left"/>
      </w:pPr>
      <w:bookmarkStart w:id="4" w:name="Корректировка_дозы_не_требуется_для_этой"/>
      <w:bookmarkEnd w:id="4"/>
      <w:r>
        <w:t>Корректировка</w:t>
      </w:r>
      <w:r>
        <w:rPr>
          <w:spacing w:val="-5"/>
        </w:rPr>
        <w:t xml:space="preserve"> </w:t>
      </w:r>
      <w:r>
        <w:t>дозы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требуется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этой группы</w:t>
      </w:r>
      <w:r>
        <w:rPr>
          <w:spacing w:val="-4"/>
        </w:rPr>
        <w:t xml:space="preserve"> </w:t>
      </w:r>
      <w:r>
        <w:rPr>
          <w:spacing w:val="-2"/>
        </w:rPr>
        <w:t>пациентов.</w:t>
      </w:r>
    </w:p>
    <w:p w14:paraId="22D73C43" w14:textId="77777777" w:rsidR="005245B3" w:rsidRDefault="00C3576F">
      <w:pPr>
        <w:spacing w:line="275" w:lineRule="exact"/>
        <w:ind w:left="219"/>
        <w:rPr>
          <w:i/>
          <w:sz w:val="24"/>
        </w:rPr>
      </w:pPr>
      <w:bookmarkStart w:id="5" w:name="Пациенты_с_печеночной_недостаточностью"/>
      <w:bookmarkEnd w:id="5"/>
      <w:r>
        <w:rPr>
          <w:i/>
          <w:sz w:val="24"/>
        </w:rPr>
        <w:t>Пациенты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печеночной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недостаточностью</w:t>
      </w:r>
    </w:p>
    <w:p w14:paraId="362FA611" w14:textId="77777777" w:rsidR="005245B3" w:rsidRDefault="00C3576F">
      <w:pPr>
        <w:pStyle w:val="a3"/>
        <w:spacing w:before="3"/>
        <w:jc w:val="left"/>
      </w:pPr>
      <w:bookmarkStart w:id="6" w:name="Не_было_проведено_исследований_для_этой_"/>
      <w:bookmarkEnd w:id="6"/>
      <w:r>
        <w:t>Не</w:t>
      </w:r>
      <w:r>
        <w:rPr>
          <w:spacing w:val="-7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проведено</w:t>
      </w:r>
      <w:r>
        <w:rPr>
          <w:spacing w:val="-2"/>
        </w:rPr>
        <w:t xml:space="preserve"> </w:t>
      </w:r>
      <w:r>
        <w:t>исследований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этой</w:t>
      </w:r>
      <w:r>
        <w:rPr>
          <w:spacing w:val="-6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rPr>
          <w:spacing w:val="-2"/>
        </w:rPr>
        <w:t>пациентов.</w:t>
      </w:r>
    </w:p>
    <w:p w14:paraId="5D0297D7" w14:textId="77777777" w:rsidR="005245B3" w:rsidRDefault="00C3576F">
      <w:pPr>
        <w:pStyle w:val="2"/>
        <w:spacing w:before="2"/>
        <w:jc w:val="left"/>
      </w:pPr>
      <w:r>
        <w:t>Способ</w:t>
      </w:r>
      <w:r>
        <w:rPr>
          <w:spacing w:val="-4"/>
        </w:rPr>
        <w:t xml:space="preserve"> </w:t>
      </w:r>
      <w:r>
        <w:rPr>
          <w:spacing w:val="-2"/>
        </w:rPr>
        <w:t>применения</w:t>
      </w:r>
    </w:p>
    <w:p w14:paraId="4787FFC0" w14:textId="77777777" w:rsidR="005245B3" w:rsidRDefault="00C3576F">
      <w:pPr>
        <w:pStyle w:val="a3"/>
        <w:spacing w:line="274" w:lineRule="exact"/>
        <w:jc w:val="left"/>
      </w:pPr>
      <w:r>
        <w:t>Для</w:t>
      </w:r>
      <w:r>
        <w:rPr>
          <w:spacing w:val="-3"/>
        </w:rPr>
        <w:t xml:space="preserve"> </w:t>
      </w:r>
      <w:r>
        <w:t>перорального</w:t>
      </w:r>
      <w:r>
        <w:rPr>
          <w:spacing w:val="-2"/>
        </w:rPr>
        <w:t xml:space="preserve"> применения.</w:t>
      </w:r>
    </w:p>
    <w:p w14:paraId="476B5120" w14:textId="7ADEB63C" w:rsidR="005245B3" w:rsidRDefault="00C3576F">
      <w:pPr>
        <w:pStyle w:val="a3"/>
        <w:ind w:right="238"/>
      </w:pPr>
      <w:r>
        <w:t xml:space="preserve">Таблетки следует проглатывать целиком, не следует измельчать, жевать или разламывать на кусочки перед приемом. Препарат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необходимо принимать вместе с едой, нельзя принимать на пустой желудок.</w:t>
      </w:r>
    </w:p>
    <w:p w14:paraId="7B14136F" w14:textId="77777777" w:rsidR="005245B3" w:rsidRDefault="005245B3">
      <w:pPr>
        <w:pStyle w:val="a3"/>
        <w:spacing w:before="4"/>
        <w:ind w:left="0"/>
        <w:jc w:val="left"/>
      </w:pPr>
    </w:p>
    <w:p w14:paraId="4C3A8F38" w14:textId="77777777" w:rsidR="005245B3" w:rsidRDefault="00C3576F">
      <w:pPr>
        <w:pStyle w:val="2"/>
        <w:numPr>
          <w:ilvl w:val="1"/>
          <w:numId w:val="3"/>
        </w:numPr>
        <w:tabs>
          <w:tab w:val="left" w:pos="585"/>
        </w:tabs>
        <w:spacing w:before="1"/>
      </w:pPr>
      <w:r>
        <w:rPr>
          <w:spacing w:val="-2"/>
        </w:rPr>
        <w:t>Противопоказания</w:t>
      </w:r>
    </w:p>
    <w:p w14:paraId="7D9547F5" w14:textId="77777777" w:rsidR="005245B3" w:rsidRDefault="00C3576F">
      <w:pPr>
        <w:pStyle w:val="a5"/>
        <w:numPr>
          <w:ilvl w:val="2"/>
          <w:numId w:val="3"/>
        </w:numPr>
        <w:tabs>
          <w:tab w:val="left" w:pos="374"/>
        </w:tabs>
        <w:spacing w:before="1" w:line="237" w:lineRule="auto"/>
        <w:ind w:right="233" w:firstLine="0"/>
        <w:jc w:val="left"/>
        <w:rPr>
          <w:sz w:val="24"/>
        </w:rPr>
      </w:pPr>
      <w:r>
        <w:rPr>
          <w:sz w:val="24"/>
        </w:rPr>
        <w:t>гиперчувствительность к действующему веществу или к любому из вспомогательных веществ, перечисленных в разделе 6.1</w:t>
      </w:r>
    </w:p>
    <w:p w14:paraId="62F6826E" w14:textId="77777777" w:rsidR="005245B3" w:rsidRDefault="00C3576F">
      <w:pPr>
        <w:pStyle w:val="a5"/>
        <w:numPr>
          <w:ilvl w:val="2"/>
          <w:numId w:val="3"/>
        </w:numPr>
        <w:tabs>
          <w:tab w:val="left" w:pos="364"/>
        </w:tabs>
        <w:spacing w:before="3"/>
        <w:ind w:left="363" w:hanging="145"/>
        <w:jc w:val="left"/>
        <w:rPr>
          <w:sz w:val="24"/>
        </w:rPr>
      </w:pPr>
      <w:proofErr w:type="spellStart"/>
      <w:r>
        <w:rPr>
          <w:spacing w:val="-2"/>
          <w:sz w:val="24"/>
        </w:rPr>
        <w:t>гипофосфатемия</w:t>
      </w:r>
      <w:proofErr w:type="spellEnd"/>
    </w:p>
    <w:p w14:paraId="25F69CB1" w14:textId="77777777" w:rsidR="005245B3" w:rsidRDefault="00C3576F">
      <w:pPr>
        <w:pStyle w:val="a5"/>
        <w:numPr>
          <w:ilvl w:val="2"/>
          <w:numId w:val="3"/>
        </w:numPr>
        <w:tabs>
          <w:tab w:val="left" w:pos="364"/>
        </w:tabs>
        <w:ind w:left="363" w:hanging="145"/>
        <w:jc w:val="left"/>
        <w:rPr>
          <w:sz w:val="24"/>
        </w:rPr>
      </w:pPr>
      <w:r>
        <w:rPr>
          <w:spacing w:val="-2"/>
          <w:sz w:val="24"/>
        </w:rPr>
        <w:t>кишечная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непроходимость.</w:t>
      </w:r>
    </w:p>
    <w:p w14:paraId="00E5E6E8" w14:textId="77777777" w:rsidR="005245B3" w:rsidRDefault="005245B3">
      <w:pPr>
        <w:pStyle w:val="a3"/>
        <w:spacing w:before="5"/>
        <w:ind w:left="0"/>
        <w:jc w:val="left"/>
      </w:pPr>
    </w:p>
    <w:p w14:paraId="0ED7F307" w14:textId="77777777" w:rsidR="005245B3" w:rsidRDefault="00C3576F">
      <w:pPr>
        <w:pStyle w:val="2"/>
        <w:numPr>
          <w:ilvl w:val="1"/>
          <w:numId w:val="3"/>
        </w:numPr>
        <w:tabs>
          <w:tab w:val="left" w:pos="585"/>
        </w:tabs>
      </w:pPr>
      <w:r>
        <w:t>Особые</w:t>
      </w:r>
      <w:r>
        <w:rPr>
          <w:spacing w:val="-5"/>
        </w:rPr>
        <w:t xml:space="preserve"> </w:t>
      </w:r>
      <w:r>
        <w:t>указания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меры</w:t>
      </w:r>
      <w:r>
        <w:rPr>
          <w:spacing w:val="-6"/>
        </w:rPr>
        <w:t xml:space="preserve"> </w:t>
      </w:r>
      <w:r>
        <w:t>предосторожности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rPr>
          <w:spacing w:val="-2"/>
        </w:rPr>
        <w:t>применении</w:t>
      </w:r>
    </w:p>
    <w:p w14:paraId="0D93157C" w14:textId="7F113337" w:rsidR="005245B3" w:rsidRDefault="00C3576F">
      <w:pPr>
        <w:pStyle w:val="a3"/>
        <w:ind w:right="225"/>
      </w:pPr>
      <w:r>
        <w:t xml:space="preserve">Безопасность и эффективность препарата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не были установлены для взрослых пациентов с хронической болезнью почек, не находящихся на диализе, с</w:t>
      </w:r>
      <w:r>
        <w:rPr>
          <w:spacing w:val="80"/>
        </w:rPr>
        <w:t xml:space="preserve"> </w:t>
      </w:r>
      <w:r>
        <w:t xml:space="preserve">концентрацией фосфора в сыворотке крови &lt;1.78 ммоль/л. Поэтому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не рекомендуется для использования у таких пациентов.</w:t>
      </w:r>
    </w:p>
    <w:p w14:paraId="5EABEF07" w14:textId="05116165" w:rsidR="005245B3" w:rsidRDefault="00C3576F">
      <w:pPr>
        <w:pStyle w:val="a3"/>
        <w:spacing w:before="2" w:line="237" w:lineRule="auto"/>
        <w:ind w:right="224"/>
      </w:pPr>
      <w:r>
        <w:t xml:space="preserve">Исследования эффективности и безопасности препарата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не проводились у пациентов со следующими заболеваниями:</w:t>
      </w:r>
    </w:p>
    <w:p w14:paraId="04FDD1DA" w14:textId="77777777" w:rsidR="005245B3" w:rsidRDefault="00C3576F">
      <w:pPr>
        <w:pStyle w:val="a5"/>
        <w:numPr>
          <w:ilvl w:val="2"/>
          <w:numId w:val="3"/>
        </w:numPr>
        <w:tabs>
          <w:tab w:val="left" w:pos="364"/>
        </w:tabs>
        <w:spacing w:before="3"/>
        <w:ind w:left="363" w:hanging="145"/>
        <w:rPr>
          <w:sz w:val="24"/>
        </w:rPr>
      </w:pPr>
      <w:r>
        <w:rPr>
          <w:spacing w:val="-2"/>
          <w:sz w:val="24"/>
        </w:rPr>
        <w:t>дисфагия;</w:t>
      </w:r>
    </w:p>
    <w:p w14:paraId="18683C04" w14:textId="77777777" w:rsidR="005245B3" w:rsidRDefault="00C3576F">
      <w:pPr>
        <w:pStyle w:val="a5"/>
        <w:numPr>
          <w:ilvl w:val="2"/>
          <w:numId w:val="3"/>
        </w:numPr>
        <w:tabs>
          <w:tab w:val="left" w:pos="364"/>
        </w:tabs>
        <w:ind w:left="363" w:hanging="145"/>
        <w:rPr>
          <w:sz w:val="24"/>
        </w:rPr>
      </w:pPr>
      <w:r>
        <w:rPr>
          <w:spacing w:val="-2"/>
          <w:sz w:val="24"/>
        </w:rPr>
        <w:t>нарушения глотания;</w:t>
      </w:r>
    </w:p>
    <w:p w14:paraId="71D3122F" w14:textId="77777777" w:rsidR="005245B3" w:rsidRDefault="005245B3">
      <w:pPr>
        <w:spacing w:line="275" w:lineRule="exact"/>
        <w:jc w:val="both"/>
        <w:rPr>
          <w:sz w:val="24"/>
        </w:rPr>
        <w:sectPr w:rsidR="005245B3">
          <w:pgSz w:w="11910" w:h="16840"/>
          <w:pgMar w:top="1320" w:right="900" w:bottom="280" w:left="1480" w:header="720" w:footer="720" w:gutter="0"/>
          <w:cols w:space="720"/>
        </w:sectPr>
      </w:pPr>
    </w:p>
    <w:p w14:paraId="496D7FC6" w14:textId="77777777" w:rsidR="005245B3" w:rsidRDefault="00C3576F">
      <w:pPr>
        <w:pStyle w:val="a5"/>
        <w:numPr>
          <w:ilvl w:val="2"/>
          <w:numId w:val="3"/>
        </w:numPr>
        <w:tabs>
          <w:tab w:val="left" w:pos="369"/>
        </w:tabs>
        <w:spacing w:before="66" w:line="240" w:lineRule="auto"/>
        <w:ind w:right="232" w:firstLine="0"/>
        <w:rPr>
          <w:sz w:val="24"/>
        </w:rPr>
      </w:pPr>
      <w:r>
        <w:rPr>
          <w:sz w:val="24"/>
        </w:rPr>
        <w:lastRenderedPageBreak/>
        <w:t>тяжелые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перистальтики</w:t>
      </w:r>
      <w:r>
        <w:rPr>
          <w:spacing w:val="-4"/>
          <w:sz w:val="24"/>
        </w:rPr>
        <w:t xml:space="preserve"> </w:t>
      </w:r>
      <w:r>
        <w:rPr>
          <w:sz w:val="24"/>
        </w:rPr>
        <w:t>желудочно-кишечного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тракта,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нелеченый или тяжелый </w:t>
      </w:r>
      <w:proofErr w:type="spellStart"/>
      <w:r>
        <w:rPr>
          <w:sz w:val="24"/>
        </w:rPr>
        <w:t>гастропарез</w:t>
      </w:r>
      <w:proofErr w:type="spellEnd"/>
      <w:r>
        <w:rPr>
          <w:sz w:val="24"/>
        </w:rPr>
        <w:t>, задержку содержимого желудка и патологическую или нерегулярную перистальтику кишечника;</w:t>
      </w:r>
    </w:p>
    <w:p w14:paraId="08CB9B96" w14:textId="77777777" w:rsidR="005245B3" w:rsidRDefault="00C3576F">
      <w:pPr>
        <w:pStyle w:val="a5"/>
        <w:numPr>
          <w:ilvl w:val="2"/>
          <w:numId w:val="3"/>
        </w:numPr>
        <w:tabs>
          <w:tab w:val="left" w:pos="364"/>
        </w:tabs>
        <w:spacing w:before="3"/>
        <w:ind w:left="363" w:hanging="145"/>
        <w:rPr>
          <w:sz w:val="24"/>
        </w:rPr>
      </w:pPr>
      <w:r>
        <w:rPr>
          <w:spacing w:val="-2"/>
          <w:sz w:val="24"/>
        </w:rPr>
        <w:t>воспалительные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заболевания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кишечника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стадии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обострения;</w:t>
      </w:r>
    </w:p>
    <w:p w14:paraId="061C7601" w14:textId="77777777" w:rsidR="005245B3" w:rsidRDefault="00C3576F">
      <w:pPr>
        <w:pStyle w:val="a5"/>
        <w:numPr>
          <w:ilvl w:val="2"/>
          <w:numId w:val="3"/>
        </w:numPr>
        <w:tabs>
          <w:tab w:val="left" w:pos="359"/>
        </w:tabs>
        <w:ind w:left="358" w:hanging="140"/>
        <w:rPr>
          <w:sz w:val="24"/>
        </w:rPr>
      </w:pPr>
      <w:r>
        <w:rPr>
          <w:spacing w:val="-2"/>
          <w:sz w:val="24"/>
        </w:rPr>
        <w:t>обширные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операции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желудочно-кишечном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тракте.</w:t>
      </w:r>
    </w:p>
    <w:p w14:paraId="0CE7B3CC" w14:textId="6ADC3A5B" w:rsidR="005245B3" w:rsidRDefault="00C3576F">
      <w:pPr>
        <w:pStyle w:val="a3"/>
        <w:spacing w:before="3"/>
        <w:ind w:right="228"/>
      </w:pPr>
      <w:r>
        <w:t>Лечение таких пациентов должно проводиться осторожно и только после переоценки пользы/риска. Если терапия</w:t>
      </w:r>
      <w:r>
        <w:rPr>
          <w:spacing w:val="-1"/>
        </w:rPr>
        <w:t xml:space="preserve"> </w:t>
      </w:r>
      <w:r>
        <w:t>начата, пациенты,</w:t>
      </w:r>
      <w:r>
        <w:rPr>
          <w:spacing w:val="-4"/>
        </w:rPr>
        <w:t xml:space="preserve"> </w:t>
      </w:r>
      <w:r>
        <w:t>страдающие от</w:t>
      </w:r>
      <w:r>
        <w:rPr>
          <w:spacing w:val="-1"/>
        </w:rPr>
        <w:t xml:space="preserve"> </w:t>
      </w:r>
      <w:r>
        <w:t>этих</w:t>
      </w:r>
      <w:r>
        <w:rPr>
          <w:spacing w:val="-6"/>
        </w:rPr>
        <w:t xml:space="preserve"> </w:t>
      </w:r>
      <w:r>
        <w:t xml:space="preserve">нарушений, должны быть под мониторингом. Лечение препаратом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следует пересмотреть у пациентов, у которых развиваются тяжелые запоры или другие тяжелые желудочно- кишечные симптомы.</w:t>
      </w:r>
    </w:p>
    <w:p w14:paraId="2FE94BC3" w14:textId="77777777" w:rsidR="005245B3" w:rsidRDefault="00C3576F">
      <w:pPr>
        <w:spacing w:line="274" w:lineRule="exact"/>
        <w:ind w:left="219"/>
        <w:jc w:val="both"/>
        <w:rPr>
          <w:i/>
          <w:sz w:val="24"/>
        </w:rPr>
      </w:pPr>
      <w:r>
        <w:rPr>
          <w:i/>
          <w:sz w:val="24"/>
        </w:rPr>
        <w:t>Кишечная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непроходимость (полная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и </w:t>
      </w:r>
      <w:r>
        <w:rPr>
          <w:i/>
          <w:spacing w:val="-2"/>
          <w:sz w:val="24"/>
        </w:rPr>
        <w:t>частичная)</w:t>
      </w:r>
    </w:p>
    <w:p w14:paraId="240C4997" w14:textId="56A90A12" w:rsidR="005245B3" w:rsidRDefault="00C3576F">
      <w:pPr>
        <w:pStyle w:val="a3"/>
        <w:spacing w:before="3"/>
        <w:ind w:right="223"/>
      </w:pPr>
      <w:r>
        <w:t xml:space="preserve">В очень редких случаях у пациентов во время терапии </w:t>
      </w:r>
      <w:proofErr w:type="spellStart"/>
      <w:r>
        <w:t>севеламером</w:t>
      </w:r>
      <w:proofErr w:type="spellEnd"/>
      <w:r>
        <w:t xml:space="preserve"> гидрохлоридом (капсулы/таблетки), содержащим такой же активный ингредиент, как и </w:t>
      </w:r>
      <w:proofErr w:type="spellStart"/>
      <w:r>
        <w:t>севеламера</w:t>
      </w:r>
      <w:proofErr w:type="spellEnd"/>
      <w:r>
        <w:t xml:space="preserve"> карбонат, наблюдалась</w:t>
      </w:r>
      <w:r>
        <w:rPr>
          <w:spacing w:val="-2"/>
        </w:rPr>
        <w:t xml:space="preserve"> </w:t>
      </w:r>
      <w:r>
        <w:t>кишечная</w:t>
      </w:r>
      <w:r>
        <w:rPr>
          <w:spacing w:val="-2"/>
        </w:rPr>
        <w:t xml:space="preserve"> </w:t>
      </w:r>
      <w:r>
        <w:t>непроходимость</w:t>
      </w:r>
      <w:r>
        <w:rPr>
          <w:spacing w:val="-1"/>
        </w:rPr>
        <w:t xml:space="preserve"> </w:t>
      </w:r>
      <w:r>
        <w:t>(полная</w:t>
      </w:r>
      <w:r>
        <w:rPr>
          <w:spacing w:val="-2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частичная).</w:t>
      </w:r>
      <w:r>
        <w:rPr>
          <w:spacing w:val="-5"/>
        </w:rPr>
        <w:t xml:space="preserve"> </w:t>
      </w:r>
      <w:r>
        <w:t>Запор</w:t>
      </w:r>
      <w:r>
        <w:rPr>
          <w:spacing w:val="-7"/>
        </w:rPr>
        <w:t xml:space="preserve"> </w:t>
      </w:r>
      <w:r>
        <w:t xml:space="preserve">может являться предшествующим симптомом, поэтому в случае возникновения запора во время применения препарата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за пациентом следует тщательно наблюдать. У пациентов с развившимся тяжелым запором или другими тяжелыми расстройствами желудочно-кишечного тракта терапию с препаратом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следует пересмотреть.</w:t>
      </w:r>
    </w:p>
    <w:p w14:paraId="684867CA" w14:textId="77777777" w:rsidR="0066775A" w:rsidRPr="0066775A" w:rsidRDefault="0066775A">
      <w:pPr>
        <w:pStyle w:val="a3"/>
        <w:spacing w:before="2"/>
        <w:ind w:right="226"/>
        <w:rPr>
          <w:i/>
          <w:szCs w:val="22"/>
        </w:rPr>
      </w:pPr>
      <w:r w:rsidRPr="0066775A">
        <w:rPr>
          <w:i/>
          <w:szCs w:val="22"/>
        </w:rPr>
        <w:t xml:space="preserve">Жирорастворимые витамины и дефицит </w:t>
      </w:r>
      <w:proofErr w:type="spellStart"/>
      <w:r w:rsidRPr="0066775A">
        <w:rPr>
          <w:i/>
          <w:szCs w:val="22"/>
        </w:rPr>
        <w:t>фолатов</w:t>
      </w:r>
      <w:proofErr w:type="spellEnd"/>
    </w:p>
    <w:p w14:paraId="0CEB784E" w14:textId="68999DD2" w:rsidR="005245B3" w:rsidRDefault="00C3576F">
      <w:pPr>
        <w:pStyle w:val="a3"/>
        <w:spacing w:before="2"/>
        <w:ind w:right="226"/>
      </w:pPr>
      <w:r>
        <w:t>В зависимости от характера питания и тяжести заболевания у</w:t>
      </w:r>
      <w:r>
        <w:rPr>
          <w:spacing w:val="-4"/>
        </w:rPr>
        <w:t xml:space="preserve"> </w:t>
      </w:r>
      <w:r>
        <w:t>пациентов с хронической болезнью</w:t>
      </w:r>
      <w:r>
        <w:rPr>
          <w:spacing w:val="-2"/>
        </w:rPr>
        <w:t xml:space="preserve"> </w:t>
      </w:r>
      <w:r>
        <w:t>почек возможно снижение</w:t>
      </w:r>
      <w:r>
        <w:rPr>
          <w:spacing w:val="-1"/>
        </w:rPr>
        <w:t xml:space="preserve"> </w:t>
      </w:r>
      <w:r>
        <w:t>уровней жирорастворимых</w:t>
      </w:r>
      <w:r>
        <w:rPr>
          <w:spacing w:val="-5"/>
        </w:rPr>
        <w:t xml:space="preserve"> </w:t>
      </w:r>
      <w:r>
        <w:t xml:space="preserve">витаминов А, D, E и К. Не исключается, что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способна связывать жирорастворимые витамины, содержащиеся в принимаемой пище. У пациентов, принимающих </w:t>
      </w:r>
      <w:proofErr w:type="spellStart"/>
      <w:r>
        <w:t>севеламер</w:t>
      </w:r>
      <w:proofErr w:type="spellEnd"/>
      <w:r>
        <w:t xml:space="preserve">, но не принимающих витаминные добавки, необходимо регулярно оценивать уровень витаминов А, Д, E и К. Витаминные добавки рекомендуются, если в них есть необходимость. Пациентам с хронической болезнью почек, не получающим лечение диализом и принимающим добавки с витамином Д (около 400 МЕ нативного витамина Д ежедневно), который может входить в состав </w:t>
      </w:r>
      <w:proofErr w:type="spellStart"/>
      <w:r>
        <w:t>мультивитаминных</w:t>
      </w:r>
      <w:proofErr w:type="spellEnd"/>
      <w:r>
        <w:t xml:space="preserve"> препаратов, рекомендуется разделить прием препарата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и витамина Д. У пациентов, получающих </w:t>
      </w:r>
      <w:proofErr w:type="spellStart"/>
      <w:r>
        <w:t>перитонеальный</w:t>
      </w:r>
      <w:proofErr w:type="spellEnd"/>
      <w:r>
        <w:t xml:space="preserve"> диализ, рекомендуется дополнительно </w:t>
      </w:r>
      <w:proofErr w:type="spellStart"/>
      <w:r>
        <w:t>мониторировать</w:t>
      </w:r>
      <w:proofErr w:type="spellEnd"/>
      <w:r>
        <w:t xml:space="preserve"> уровни жирорастворимых витаминов и фолиевой кислоты, так как в клинических исследованиях уровни витаминов A, Д, E и К у таких пациентов не измерялись.</w:t>
      </w:r>
    </w:p>
    <w:p w14:paraId="4072EE1A" w14:textId="2AC84F4B" w:rsidR="005245B3" w:rsidRDefault="00C3576F">
      <w:pPr>
        <w:pStyle w:val="a3"/>
        <w:ind w:right="222"/>
      </w:pPr>
      <w:r>
        <w:t xml:space="preserve">В настоящее время недостаточно данных для исключения возможности развития дефицита </w:t>
      </w:r>
      <w:proofErr w:type="spellStart"/>
      <w:r>
        <w:t>фолатов</w:t>
      </w:r>
      <w:proofErr w:type="spellEnd"/>
      <w:r>
        <w:t xml:space="preserve"> (солей фолиевой кислоты) во время длительной терапии с применением препарата </w:t>
      </w:r>
      <w:proofErr w:type="spellStart"/>
      <w:r w:rsidR="00AB5FB6" w:rsidRPr="0047700E">
        <w:t>Севроже</w:t>
      </w:r>
      <w:proofErr w:type="spellEnd"/>
      <w:r>
        <w:t xml:space="preserve">. У пациентов, не принимающих дополнительно фолиевую кислоту, при приеме </w:t>
      </w:r>
      <w:proofErr w:type="spellStart"/>
      <w:r>
        <w:t>севеламера</w:t>
      </w:r>
      <w:proofErr w:type="spellEnd"/>
      <w:r>
        <w:t xml:space="preserve">, уровень </w:t>
      </w:r>
      <w:proofErr w:type="spellStart"/>
      <w:r>
        <w:t>фолата</w:t>
      </w:r>
      <w:proofErr w:type="spellEnd"/>
      <w:r>
        <w:t xml:space="preserve"> следует регулярно </w:t>
      </w:r>
      <w:r>
        <w:rPr>
          <w:spacing w:val="-2"/>
        </w:rPr>
        <w:t>оценивать.</w:t>
      </w:r>
    </w:p>
    <w:p w14:paraId="142523E7" w14:textId="77777777" w:rsidR="005245B3" w:rsidRDefault="00C3576F">
      <w:pPr>
        <w:spacing w:before="2" w:line="275" w:lineRule="exact"/>
        <w:ind w:left="219"/>
        <w:rPr>
          <w:i/>
          <w:sz w:val="24"/>
        </w:rPr>
      </w:pPr>
      <w:proofErr w:type="spellStart"/>
      <w:r>
        <w:rPr>
          <w:i/>
          <w:spacing w:val="-2"/>
          <w:sz w:val="24"/>
        </w:rPr>
        <w:t>Гипокальциемия</w:t>
      </w:r>
      <w:proofErr w:type="spellEnd"/>
      <w:r>
        <w:rPr>
          <w:i/>
          <w:spacing w:val="-2"/>
          <w:sz w:val="24"/>
        </w:rPr>
        <w:t>/</w:t>
      </w:r>
      <w:proofErr w:type="spellStart"/>
      <w:r>
        <w:rPr>
          <w:i/>
          <w:spacing w:val="-2"/>
          <w:sz w:val="24"/>
        </w:rPr>
        <w:t>гиперкальциемия</w:t>
      </w:r>
      <w:proofErr w:type="spellEnd"/>
    </w:p>
    <w:p w14:paraId="6FDF2131" w14:textId="61B888D3" w:rsidR="005245B3" w:rsidRDefault="00C3576F">
      <w:pPr>
        <w:pStyle w:val="a3"/>
        <w:ind w:right="226"/>
      </w:pPr>
      <w:r>
        <w:t xml:space="preserve">У пациентов с хронической болезнью почек может развиться </w:t>
      </w:r>
      <w:proofErr w:type="spellStart"/>
      <w:r>
        <w:t>гипокальциемия</w:t>
      </w:r>
      <w:proofErr w:type="spellEnd"/>
      <w:r>
        <w:t xml:space="preserve"> или </w:t>
      </w:r>
      <w:proofErr w:type="spellStart"/>
      <w:r>
        <w:t>гиперкальциемия</w:t>
      </w:r>
      <w:proofErr w:type="spellEnd"/>
      <w:r>
        <w:t xml:space="preserve">.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не содержит кальция. Поэтому необходимо регулярно </w:t>
      </w:r>
      <w:proofErr w:type="spellStart"/>
      <w:r>
        <w:t>мониторировать</w:t>
      </w:r>
      <w:proofErr w:type="spellEnd"/>
      <w:r>
        <w:t xml:space="preserve"> уровень кальция в сыворотке крови и при необходимости назначать основной кальций в виде добавок.</w:t>
      </w:r>
    </w:p>
    <w:p w14:paraId="5E09518E" w14:textId="77777777" w:rsidR="005245B3" w:rsidRDefault="00C3576F">
      <w:pPr>
        <w:ind w:left="219"/>
        <w:jc w:val="both"/>
        <w:rPr>
          <w:i/>
          <w:sz w:val="24"/>
        </w:rPr>
      </w:pPr>
      <w:r>
        <w:rPr>
          <w:i/>
          <w:sz w:val="24"/>
        </w:rPr>
        <w:t>Метаболический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ацидоз</w:t>
      </w:r>
    </w:p>
    <w:p w14:paraId="268A9F10" w14:textId="77777777" w:rsidR="005245B3" w:rsidRDefault="00C3576F">
      <w:pPr>
        <w:pStyle w:val="a3"/>
        <w:spacing w:before="2"/>
        <w:ind w:right="221"/>
      </w:pPr>
      <w:r>
        <w:t xml:space="preserve">Пациенты с хронической болезнью почек предрасположены к развитию метаболического ацидоза. Поэтому, в соответствии с рекомендациями надлежащей клинической практики, рекомендуется </w:t>
      </w:r>
      <w:proofErr w:type="spellStart"/>
      <w:r>
        <w:t>мониторировать</w:t>
      </w:r>
      <w:proofErr w:type="spellEnd"/>
      <w:r>
        <w:t xml:space="preserve"> уровень бикарбонатов в сыворотке крови.</w:t>
      </w:r>
    </w:p>
    <w:p w14:paraId="2F04E08F" w14:textId="77777777" w:rsidR="005245B3" w:rsidRDefault="00C3576F">
      <w:pPr>
        <w:spacing w:line="275" w:lineRule="exact"/>
        <w:ind w:left="219"/>
        <w:rPr>
          <w:i/>
          <w:sz w:val="24"/>
        </w:rPr>
      </w:pPr>
      <w:r>
        <w:rPr>
          <w:i/>
          <w:spacing w:val="-2"/>
          <w:sz w:val="24"/>
        </w:rPr>
        <w:t>Перитонит</w:t>
      </w:r>
    </w:p>
    <w:p w14:paraId="6927AD2E" w14:textId="77777777" w:rsidR="005245B3" w:rsidRDefault="00C3576F">
      <w:pPr>
        <w:pStyle w:val="a3"/>
        <w:ind w:right="226"/>
      </w:pPr>
      <w:r>
        <w:t xml:space="preserve">Пациенты, получающие лечение диализом, подвержены риску возникновения специфических для диализной процедуры инфекций. Перитонит – известное осложнение у пациентов, находящихся на </w:t>
      </w:r>
      <w:proofErr w:type="spellStart"/>
      <w:r>
        <w:t>перитонеальном</w:t>
      </w:r>
      <w:proofErr w:type="spellEnd"/>
      <w:r>
        <w:t xml:space="preserve"> диализе, и в клинических исследованиях</w:t>
      </w:r>
      <w:r>
        <w:rPr>
          <w:spacing w:val="30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группе</w:t>
      </w:r>
      <w:r>
        <w:rPr>
          <w:spacing w:val="34"/>
        </w:rPr>
        <w:t xml:space="preserve"> </w:t>
      </w:r>
      <w:r>
        <w:t>пациентов,</w:t>
      </w:r>
      <w:r>
        <w:rPr>
          <w:spacing w:val="33"/>
        </w:rPr>
        <w:t xml:space="preserve"> </w:t>
      </w:r>
      <w:r>
        <w:t>получавших</w:t>
      </w:r>
      <w:r>
        <w:rPr>
          <w:spacing w:val="30"/>
        </w:rPr>
        <w:t xml:space="preserve"> </w:t>
      </w:r>
      <w:r>
        <w:t>терапию</w:t>
      </w:r>
      <w:r>
        <w:rPr>
          <w:spacing w:val="40"/>
        </w:rPr>
        <w:t xml:space="preserve"> </w:t>
      </w:r>
      <w:proofErr w:type="spellStart"/>
      <w:r>
        <w:t>севеламера</w:t>
      </w:r>
      <w:proofErr w:type="spellEnd"/>
      <w:r>
        <w:rPr>
          <w:spacing w:val="34"/>
        </w:rPr>
        <w:t xml:space="preserve"> </w:t>
      </w:r>
      <w:r>
        <w:t>гидрохлоридом,</w:t>
      </w:r>
    </w:p>
    <w:p w14:paraId="322BB8BF" w14:textId="77777777" w:rsidR="005245B3" w:rsidRDefault="005245B3">
      <w:pPr>
        <w:sectPr w:rsidR="005245B3">
          <w:pgSz w:w="11910" w:h="16840"/>
          <w:pgMar w:top="1040" w:right="900" w:bottom="280" w:left="1480" w:header="720" w:footer="720" w:gutter="0"/>
          <w:cols w:space="720"/>
        </w:sectPr>
      </w:pPr>
    </w:p>
    <w:p w14:paraId="525B349A" w14:textId="77777777" w:rsidR="005245B3" w:rsidRDefault="00C3576F">
      <w:pPr>
        <w:pStyle w:val="a3"/>
        <w:spacing w:before="66"/>
        <w:ind w:right="229"/>
      </w:pPr>
      <w:r>
        <w:lastRenderedPageBreak/>
        <w:t xml:space="preserve">число случаев перитонита было больше, чем в контрольной группе. Пациентов, получающих </w:t>
      </w:r>
      <w:proofErr w:type="spellStart"/>
      <w:r>
        <w:t>перитонеальный</w:t>
      </w:r>
      <w:proofErr w:type="spellEnd"/>
      <w:r>
        <w:t xml:space="preserve"> диализ, следует тщательно наблюдать с целью обеспечения правильного применения соответствующих асептических методик и выявления любых проявлений или симптомов перитонита.</w:t>
      </w:r>
    </w:p>
    <w:p w14:paraId="0FFDE126" w14:textId="77777777" w:rsidR="005245B3" w:rsidRDefault="00C3576F">
      <w:pPr>
        <w:spacing w:before="1"/>
        <w:ind w:left="219"/>
        <w:jc w:val="both"/>
        <w:rPr>
          <w:i/>
          <w:sz w:val="24"/>
        </w:rPr>
      </w:pPr>
      <w:r>
        <w:rPr>
          <w:i/>
          <w:sz w:val="24"/>
        </w:rPr>
        <w:t>Затруднённое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глотание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дыхание</w:t>
      </w:r>
    </w:p>
    <w:p w14:paraId="19B3232F" w14:textId="705B9157" w:rsidR="005245B3" w:rsidRDefault="00C3576F">
      <w:pPr>
        <w:pStyle w:val="a3"/>
        <w:spacing w:before="3"/>
        <w:ind w:right="228"/>
      </w:pPr>
      <w:r>
        <w:t xml:space="preserve">Были зарегистрированы нечастые сообщения о затруднении глотания при приёме таблеток </w:t>
      </w:r>
      <w:proofErr w:type="spellStart"/>
      <w:r w:rsidR="00AB5FB6" w:rsidRPr="0047700E">
        <w:t>Севроже</w:t>
      </w:r>
      <w:proofErr w:type="spellEnd"/>
      <w:r>
        <w:t xml:space="preserve">. Многие из этих случаев касались пациентов с сопутствующим патологическим состоянием, включая расстройства глотания или проблемы с пищеводом. Следует внимательно </w:t>
      </w:r>
      <w:proofErr w:type="spellStart"/>
      <w:r>
        <w:t>мониторировать</w:t>
      </w:r>
      <w:proofErr w:type="spellEnd"/>
      <w:r>
        <w:t xml:space="preserve"> способность правильного глотания</w:t>
      </w:r>
      <w:r>
        <w:rPr>
          <w:spacing w:val="40"/>
        </w:rPr>
        <w:t xml:space="preserve"> </w:t>
      </w:r>
      <w:r>
        <w:t xml:space="preserve">у пациентов с сопутствующими заболеваниями. Для пациентов с затруднённым глотанием в истории болезни следует рассмотреть возможность приёма препарата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в виде порошка для пероральной суспензии.</w:t>
      </w:r>
    </w:p>
    <w:p w14:paraId="08597448" w14:textId="77777777" w:rsidR="005245B3" w:rsidRDefault="00C3576F">
      <w:pPr>
        <w:spacing w:line="274" w:lineRule="exact"/>
        <w:ind w:left="219"/>
        <w:rPr>
          <w:i/>
          <w:sz w:val="24"/>
        </w:rPr>
      </w:pPr>
      <w:r>
        <w:rPr>
          <w:i/>
          <w:spacing w:val="-2"/>
          <w:sz w:val="24"/>
        </w:rPr>
        <w:t>Гипотиреоз</w:t>
      </w:r>
    </w:p>
    <w:p w14:paraId="6ACE9617" w14:textId="18C7310C" w:rsidR="005245B3" w:rsidRDefault="00C3576F">
      <w:pPr>
        <w:pStyle w:val="a3"/>
        <w:tabs>
          <w:tab w:val="left" w:pos="1878"/>
          <w:tab w:val="left" w:pos="4309"/>
          <w:tab w:val="left" w:pos="5571"/>
          <w:tab w:val="left" w:pos="5878"/>
          <w:tab w:val="left" w:pos="7499"/>
          <w:tab w:val="left" w:pos="8074"/>
        </w:tabs>
        <w:spacing w:before="4" w:line="237" w:lineRule="auto"/>
        <w:ind w:right="240"/>
        <w:jc w:val="left"/>
      </w:pPr>
      <w:r>
        <w:rPr>
          <w:spacing w:val="-2"/>
        </w:rPr>
        <w:t>Рекомендован</w:t>
      </w:r>
      <w:r>
        <w:tab/>
        <w:t>строгий</w:t>
      </w:r>
      <w:r>
        <w:rPr>
          <w:spacing w:val="80"/>
        </w:rPr>
        <w:t xml:space="preserve"> </w:t>
      </w:r>
      <w:r>
        <w:t>мониторинг</w:t>
      </w:r>
      <w:r>
        <w:tab/>
      </w:r>
      <w:r>
        <w:rPr>
          <w:spacing w:val="-2"/>
        </w:rPr>
        <w:t>пациентов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гипотиреозом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совместном </w:t>
      </w:r>
      <w:r>
        <w:t xml:space="preserve">применении препарата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и </w:t>
      </w:r>
      <w:proofErr w:type="spellStart"/>
      <w:r>
        <w:t>левотироксина</w:t>
      </w:r>
      <w:proofErr w:type="spellEnd"/>
      <w:r>
        <w:t xml:space="preserve"> (см. раздел 4.5).</w:t>
      </w:r>
    </w:p>
    <w:p w14:paraId="1260E971" w14:textId="77777777" w:rsidR="005245B3" w:rsidRDefault="00C3576F">
      <w:pPr>
        <w:spacing w:before="4" w:line="275" w:lineRule="exact"/>
        <w:ind w:left="219"/>
        <w:rPr>
          <w:i/>
          <w:sz w:val="24"/>
        </w:rPr>
      </w:pPr>
      <w:proofErr w:type="spellStart"/>
      <w:r>
        <w:rPr>
          <w:i/>
          <w:spacing w:val="-2"/>
          <w:sz w:val="24"/>
        </w:rPr>
        <w:t>Гиперпаратиреоз</w:t>
      </w:r>
      <w:proofErr w:type="spellEnd"/>
    </w:p>
    <w:p w14:paraId="2AE85BE9" w14:textId="57938404" w:rsidR="005245B3" w:rsidRDefault="00C3576F">
      <w:pPr>
        <w:pStyle w:val="a3"/>
        <w:ind w:right="225"/>
      </w:pPr>
      <w:r>
        <w:t xml:space="preserve">Препарат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не показан для контроля </w:t>
      </w:r>
      <w:proofErr w:type="spellStart"/>
      <w:r>
        <w:t>гиперпаратиреоза</w:t>
      </w:r>
      <w:proofErr w:type="spellEnd"/>
      <w:r>
        <w:t>. У пациентов с</w:t>
      </w:r>
      <w:r>
        <w:rPr>
          <w:spacing w:val="80"/>
        </w:rPr>
        <w:t xml:space="preserve"> </w:t>
      </w:r>
      <w:r>
        <w:t xml:space="preserve">вторичным </w:t>
      </w:r>
      <w:proofErr w:type="spellStart"/>
      <w:r>
        <w:t>гиперпаратиреозом</w:t>
      </w:r>
      <w:proofErr w:type="spellEnd"/>
      <w:r>
        <w:t xml:space="preserve"> препарат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следует применять в составе комбинированной терапии, которая может включать кальциевые добавки, 1,25- </w:t>
      </w:r>
      <w:proofErr w:type="spellStart"/>
      <w:r>
        <w:rPr>
          <w:position w:val="2"/>
        </w:rPr>
        <w:t>дигидроксихолекальциферол</w:t>
      </w:r>
      <w:proofErr w:type="spellEnd"/>
      <w:r>
        <w:rPr>
          <w:position w:val="2"/>
        </w:rPr>
        <w:t xml:space="preserve"> (1,25-дигидроксивитамин Д</w:t>
      </w:r>
      <w:r>
        <w:rPr>
          <w:sz w:val="16"/>
        </w:rPr>
        <w:t>3</w:t>
      </w:r>
      <w:r>
        <w:rPr>
          <w:position w:val="2"/>
        </w:rPr>
        <w:t xml:space="preserve">) или один из его аналогов с </w:t>
      </w:r>
      <w:r>
        <w:t>целью снижения уровня интактного паратиреоидного гормона (</w:t>
      </w:r>
      <w:proofErr w:type="spellStart"/>
      <w:r>
        <w:t>иПТГ</w:t>
      </w:r>
      <w:proofErr w:type="spellEnd"/>
      <w:r>
        <w:t>).</w:t>
      </w:r>
    </w:p>
    <w:p w14:paraId="2F1AB48A" w14:textId="77777777" w:rsidR="005245B3" w:rsidRDefault="00C3576F">
      <w:pPr>
        <w:spacing w:line="275" w:lineRule="exact"/>
        <w:ind w:left="219"/>
        <w:jc w:val="both"/>
        <w:rPr>
          <w:i/>
          <w:sz w:val="24"/>
        </w:rPr>
      </w:pPr>
      <w:r>
        <w:rPr>
          <w:i/>
          <w:sz w:val="24"/>
        </w:rPr>
        <w:t>Воспалительные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заболевания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желудочно-кишечного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тракта</w:t>
      </w:r>
    </w:p>
    <w:p w14:paraId="2E8CE322" w14:textId="77777777" w:rsidR="005245B3" w:rsidRDefault="00C3576F">
      <w:pPr>
        <w:pStyle w:val="a3"/>
        <w:ind w:right="223"/>
      </w:pPr>
      <w:r>
        <w:t xml:space="preserve">Были отмечены </w:t>
      </w:r>
      <w:proofErr w:type="spellStart"/>
      <w:r>
        <w:t>cлучаи</w:t>
      </w:r>
      <w:proofErr w:type="spellEnd"/>
      <w:r>
        <w:t xml:space="preserve"> тяжелых воспалительных заболеваний различных участков желудочно-кишечного тракта</w:t>
      </w:r>
      <w:r>
        <w:rPr>
          <w:spacing w:val="-3"/>
        </w:rPr>
        <w:t xml:space="preserve"> </w:t>
      </w:r>
      <w:r>
        <w:t>(включая серьезные</w:t>
      </w:r>
      <w:r>
        <w:rPr>
          <w:spacing w:val="-3"/>
        </w:rPr>
        <w:t xml:space="preserve"> </w:t>
      </w:r>
      <w:r>
        <w:t xml:space="preserve">осложнения, такие как кровотечение, прободение, образование язвы, некроз, колит и каловые массы), связанные с присутствием кристаллов </w:t>
      </w:r>
      <w:proofErr w:type="spellStart"/>
      <w:r>
        <w:t>севеламера</w:t>
      </w:r>
      <w:proofErr w:type="spellEnd"/>
      <w:r>
        <w:t xml:space="preserve"> (см. раздел 4.8). </w:t>
      </w:r>
      <w:r>
        <w:rPr>
          <w:u w:val="single"/>
        </w:rPr>
        <w:t>Воспалительные заболевания</w:t>
      </w:r>
      <w:r>
        <w:t xml:space="preserve"> </w:t>
      </w:r>
      <w:r>
        <w:rPr>
          <w:u w:val="single"/>
        </w:rPr>
        <w:t>прекращались после отмены приема препарата</w:t>
      </w:r>
      <w:r>
        <w:t xml:space="preserve">. Лечение </w:t>
      </w:r>
      <w:proofErr w:type="spellStart"/>
      <w:r>
        <w:t>севеламера</w:t>
      </w:r>
      <w:proofErr w:type="spellEnd"/>
      <w:r>
        <w:t xml:space="preserve"> карбонатом</w:t>
      </w:r>
      <w:r>
        <w:rPr>
          <w:spacing w:val="40"/>
        </w:rPr>
        <w:t xml:space="preserve"> </w:t>
      </w:r>
      <w:r>
        <w:t>следует пересмотреть у пациентов, у которых появились симптомы серьезных желудочно-кишечных заболеваний.</w:t>
      </w:r>
    </w:p>
    <w:p w14:paraId="6DF25063" w14:textId="77777777" w:rsidR="005245B3" w:rsidRDefault="00C3576F">
      <w:pPr>
        <w:spacing w:before="1" w:line="275" w:lineRule="exact"/>
        <w:ind w:left="219"/>
        <w:rPr>
          <w:i/>
          <w:sz w:val="24"/>
        </w:rPr>
      </w:pPr>
      <w:r>
        <w:rPr>
          <w:i/>
          <w:sz w:val="24"/>
          <w:u w:val="single"/>
        </w:rPr>
        <w:t>Информация,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связанная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с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содержанием </w:t>
      </w:r>
      <w:r>
        <w:rPr>
          <w:i/>
          <w:spacing w:val="-2"/>
          <w:sz w:val="24"/>
          <w:u w:val="single"/>
        </w:rPr>
        <w:t>натрия</w:t>
      </w:r>
    </w:p>
    <w:p w14:paraId="0402D949" w14:textId="77777777" w:rsidR="005245B3" w:rsidRDefault="00C3576F">
      <w:pPr>
        <w:pStyle w:val="a3"/>
        <w:spacing w:line="242" w:lineRule="auto"/>
        <w:ind w:right="240"/>
        <w:jc w:val="left"/>
      </w:pPr>
      <w:r>
        <w:t>Данный</w:t>
      </w:r>
      <w:r>
        <w:rPr>
          <w:spacing w:val="32"/>
        </w:rPr>
        <w:t xml:space="preserve"> </w:t>
      </w:r>
      <w:r>
        <w:t>лекарственный</w:t>
      </w:r>
      <w:r>
        <w:rPr>
          <w:spacing w:val="28"/>
        </w:rPr>
        <w:t xml:space="preserve"> </w:t>
      </w:r>
      <w:r>
        <w:t>препарат</w:t>
      </w:r>
      <w:r>
        <w:rPr>
          <w:spacing w:val="32"/>
        </w:rPr>
        <w:t xml:space="preserve"> </w:t>
      </w:r>
      <w:r>
        <w:t>содержит менее</w:t>
      </w:r>
      <w:r>
        <w:rPr>
          <w:spacing w:val="30"/>
        </w:rPr>
        <w:t xml:space="preserve"> </w:t>
      </w:r>
      <w:r>
        <w:t>1</w:t>
      </w:r>
      <w:r>
        <w:rPr>
          <w:spacing w:val="31"/>
        </w:rPr>
        <w:t xml:space="preserve"> </w:t>
      </w:r>
      <w:r>
        <w:t>ммоль (23 мг)</w:t>
      </w:r>
      <w:r>
        <w:rPr>
          <w:spacing w:val="33"/>
        </w:rPr>
        <w:t xml:space="preserve"> </w:t>
      </w:r>
      <w:r>
        <w:t>натрия</w:t>
      </w:r>
      <w:r>
        <w:rPr>
          <w:spacing w:val="3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таблетке, т.е. препарат считается свободным от натрия.</w:t>
      </w:r>
    </w:p>
    <w:p w14:paraId="7C56679C" w14:textId="77777777" w:rsidR="005245B3" w:rsidRDefault="005245B3">
      <w:pPr>
        <w:pStyle w:val="a3"/>
        <w:spacing w:before="3"/>
        <w:ind w:left="0"/>
        <w:jc w:val="left"/>
      </w:pPr>
    </w:p>
    <w:p w14:paraId="19D1BE51" w14:textId="77777777" w:rsidR="005245B3" w:rsidRDefault="00C3576F">
      <w:pPr>
        <w:pStyle w:val="2"/>
        <w:numPr>
          <w:ilvl w:val="1"/>
          <w:numId w:val="3"/>
        </w:numPr>
        <w:tabs>
          <w:tab w:val="left" w:pos="677"/>
        </w:tabs>
        <w:spacing w:line="237" w:lineRule="auto"/>
        <w:ind w:left="219" w:right="228" w:firstLine="0"/>
      </w:pPr>
      <w:r>
        <w:t>Взаимодействия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другими</w:t>
      </w:r>
      <w:r>
        <w:rPr>
          <w:spacing w:val="80"/>
        </w:rPr>
        <w:t xml:space="preserve"> </w:t>
      </w:r>
      <w:r>
        <w:t>лекарственными</w:t>
      </w:r>
      <w:r>
        <w:rPr>
          <w:spacing w:val="80"/>
        </w:rPr>
        <w:t xml:space="preserve"> </w:t>
      </w:r>
      <w:r>
        <w:t>препаратами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</w:t>
      </w:r>
      <w:r>
        <w:rPr>
          <w:spacing w:val="80"/>
        </w:rPr>
        <w:t xml:space="preserve"> </w:t>
      </w:r>
      <w:r>
        <w:t xml:space="preserve">виды </w:t>
      </w:r>
      <w:r>
        <w:rPr>
          <w:spacing w:val="-2"/>
        </w:rPr>
        <w:t>взаимодействия</w:t>
      </w:r>
    </w:p>
    <w:p w14:paraId="1E7ED99B" w14:textId="77777777" w:rsidR="005245B3" w:rsidRDefault="00C3576F">
      <w:pPr>
        <w:pStyle w:val="a3"/>
        <w:spacing w:line="274" w:lineRule="exact"/>
        <w:jc w:val="left"/>
      </w:pPr>
      <w:r>
        <w:rPr>
          <w:spacing w:val="-2"/>
          <w:u w:val="single"/>
        </w:rPr>
        <w:t>Диализ</w:t>
      </w:r>
    </w:p>
    <w:p w14:paraId="036EE149" w14:textId="77777777" w:rsidR="005245B3" w:rsidRDefault="00C3576F">
      <w:pPr>
        <w:pStyle w:val="a3"/>
        <w:spacing w:line="242" w:lineRule="auto"/>
        <w:jc w:val="left"/>
      </w:pPr>
      <w:r>
        <w:t>Исследований</w:t>
      </w:r>
      <w:r>
        <w:rPr>
          <w:spacing w:val="40"/>
        </w:rPr>
        <w:t xml:space="preserve"> </w:t>
      </w:r>
      <w:r>
        <w:t>взаимодействия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другими</w:t>
      </w:r>
      <w:r>
        <w:rPr>
          <w:spacing w:val="40"/>
        </w:rPr>
        <w:t xml:space="preserve"> </w:t>
      </w:r>
      <w:r>
        <w:t>лекарственными</w:t>
      </w:r>
      <w:r>
        <w:rPr>
          <w:spacing w:val="40"/>
        </w:rPr>
        <w:t xml:space="preserve"> </w:t>
      </w:r>
      <w:r>
        <w:t>средствами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пациентов, получающих диализ, не проводились.</w:t>
      </w:r>
    </w:p>
    <w:p w14:paraId="4FC5560E" w14:textId="77777777" w:rsidR="005245B3" w:rsidRDefault="00C3576F">
      <w:pPr>
        <w:pStyle w:val="a3"/>
        <w:spacing w:line="271" w:lineRule="exact"/>
        <w:jc w:val="left"/>
      </w:pPr>
      <w:r>
        <w:rPr>
          <w:spacing w:val="-2"/>
          <w:u w:val="single"/>
        </w:rPr>
        <w:t>Ципрофлоксацин</w:t>
      </w:r>
    </w:p>
    <w:p w14:paraId="60833B30" w14:textId="0E847B33" w:rsidR="005245B3" w:rsidRDefault="00C3576F">
      <w:pPr>
        <w:pStyle w:val="a3"/>
        <w:spacing w:before="1"/>
        <w:ind w:right="224"/>
      </w:pPr>
      <w:r>
        <w:t xml:space="preserve">В исследованиях взаимодействия лекарственных препаратов на добровольцах, </w:t>
      </w:r>
      <w:proofErr w:type="spellStart"/>
      <w:r>
        <w:t>севеламера</w:t>
      </w:r>
      <w:proofErr w:type="spellEnd"/>
      <w:r>
        <w:t xml:space="preserve"> гидрохлорид, молекула которого содержит такой же активный ингредиент, как и </w:t>
      </w:r>
      <w:proofErr w:type="spellStart"/>
      <w:r>
        <w:t>севеламера</w:t>
      </w:r>
      <w:proofErr w:type="spellEnd"/>
      <w:r>
        <w:t xml:space="preserve"> карбонат, уменьшал </w:t>
      </w:r>
      <w:proofErr w:type="spellStart"/>
      <w:r>
        <w:t>биодоступность</w:t>
      </w:r>
      <w:proofErr w:type="spellEnd"/>
      <w:r>
        <w:t xml:space="preserve"> ципрофлоксацина приблизительно на 50 % при его одновременном однократном приеме. Таким образом, препарат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не следует принимать одновременно с ципрофлоксацином.</w:t>
      </w:r>
    </w:p>
    <w:p w14:paraId="2582940E" w14:textId="77777777" w:rsidR="005245B3" w:rsidRDefault="00C3576F">
      <w:pPr>
        <w:pStyle w:val="a3"/>
        <w:ind w:right="227"/>
      </w:pPr>
      <w:proofErr w:type="spellStart"/>
      <w:r>
        <w:rPr>
          <w:u w:val="single"/>
        </w:rPr>
        <w:t>Циклоспорин</w:t>
      </w:r>
      <w:proofErr w:type="spellEnd"/>
      <w:r>
        <w:rPr>
          <w:u w:val="single"/>
        </w:rPr>
        <w:t xml:space="preserve">, </w:t>
      </w:r>
      <w:proofErr w:type="spellStart"/>
      <w:r>
        <w:rPr>
          <w:u w:val="single"/>
        </w:rPr>
        <w:t>микофенолата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мофетил</w:t>
      </w:r>
      <w:proofErr w:type="spellEnd"/>
      <w:r>
        <w:rPr>
          <w:spacing w:val="-1"/>
          <w:u w:val="single"/>
        </w:rPr>
        <w:t xml:space="preserve"> </w:t>
      </w:r>
      <w:r>
        <w:rPr>
          <w:u w:val="single"/>
        </w:rPr>
        <w:t xml:space="preserve">и </w:t>
      </w:r>
      <w:proofErr w:type="spellStart"/>
      <w:r>
        <w:rPr>
          <w:u w:val="single"/>
        </w:rPr>
        <w:t>такролимус</w:t>
      </w:r>
      <w:proofErr w:type="spellEnd"/>
      <w:r>
        <w:rPr>
          <w:u w:val="single"/>
        </w:rPr>
        <w:t xml:space="preserve"> у</w:t>
      </w:r>
      <w:r>
        <w:rPr>
          <w:spacing w:val="-6"/>
          <w:u w:val="single"/>
        </w:rPr>
        <w:t xml:space="preserve"> </w:t>
      </w:r>
      <w:r>
        <w:rPr>
          <w:u w:val="single"/>
        </w:rPr>
        <w:t>пациентов после</w:t>
      </w:r>
      <w:r>
        <w:rPr>
          <w:spacing w:val="-2"/>
          <w:u w:val="single"/>
        </w:rPr>
        <w:t xml:space="preserve"> </w:t>
      </w:r>
      <w:r>
        <w:rPr>
          <w:u w:val="single"/>
        </w:rPr>
        <w:t>трансплантации</w:t>
      </w:r>
      <w:r>
        <w:t xml:space="preserve"> </w:t>
      </w:r>
      <w:proofErr w:type="gramStart"/>
      <w:r>
        <w:t>У</w:t>
      </w:r>
      <w:proofErr w:type="gramEnd"/>
      <w:r>
        <w:t xml:space="preserve"> пациентов после трансплантации при совместном приеме с </w:t>
      </w:r>
      <w:proofErr w:type="spellStart"/>
      <w:r>
        <w:t>севеламера</w:t>
      </w:r>
      <w:proofErr w:type="spellEnd"/>
      <w:r>
        <w:t xml:space="preserve"> гидрохлоридом было обнаружено снижение уровней </w:t>
      </w:r>
      <w:proofErr w:type="spellStart"/>
      <w:r>
        <w:t>циклоспорина</w:t>
      </w:r>
      <w:proofErr w:type="spellEnd"/>
      <w:r>
        <w:t xml:space="preserve">, </w:t>
      </w:r>
      <w:proofErr w:type="spellStart"/>
      <w:r>
        <w:t>микофенолата</w:t>
      </w:r>
      <w:proofErr w:type="spellEnd"/>
      <w:r>
        <w:t xml:space="preserve"> </w:t>
      </w:r>
      <w:proofErr w:type="spellStart"/>
      <w:r>
        <w:t>мофетила</w:t>
      </w:r>
      <w:proofErr w:type="spellEnd"/>
      <w:r>
        <w:t xml:space="preserve"> и </w:t>
      </w:r>
      <w:proofErr w:type="spellStart"/>
      <w:r>
        <w:t>такролимуса</w:t>
      </w:r>
      <w:proofErr w:type="spellEnd"/>
      <w:r>
        <w:t xml:space="preserve"> без каких-либо клинических последствий (например, отторжение трансплантата). Вероятность взаимодействия нельзя исключить, в связи с чем необходимо осуществлять тщательный мониторинг концентраций </w:t>
      </w:r>
      <w:proofErr w:type="spellStart"/>
      <w:r>
        <w:t>циклоспорина</w:t>
      </w:r>
      <w:proofErr w:type="spellEnd"/>
      <w:r>
        <w:t xml:space="preserve">, </w:t>
      </w:r>
      <w:proofErr w:type="spellStart"/>
      <w:r>
        <w:t>микофенолата</w:t>
      </w:r>
      <w:proofErr w:type="spellEnd"/>
      <w:r>
        <w:t xml:space="preserve"> </w:t>
      </w:r>
      <w:proofErr w:type="spellStart"/>
      <w:r>
        <w:t>мофетила</w:t>
      </w:r>
      <w:proofErr w:type="spellEnd"/>
      <w:r>
        <w:t xml:space="preserve"> и </w:t>
      </w:r>
      <w:proofErr w:type="spellStart"/>
      <w:r>
        <w:t>такролимуса</w:t>
      </w:r>
      <w:proofErr w:type="spellEnd"/>
      <w:r>
        <w:t xml:space="preserve"> в крови во время применения указанной комбинации, а также после прекращения лечения.</w:t>
      </w:r>
    </w:p>
    <w:p w14:paraId="1D769AFB" w14:textId="77777777" w:rsidR="005245B3" w:rsidRDefault="005245B3">
      <w:pPr>
        <w:sectPr w:rsidR="005245B3">
          <w:pgSz w:w="11910" w:h="16840"/>
          <w:pgMar w:top="1040" w:right="900" w:bottom="280" w:left="1480" w:header="720" w:footer="720" w:gutter="0"/>
          <w:cols w:space="720"/>
        </w:sectPr>
      </w:pPr>
    </w:p>
    <w:p w14:paraId="6A244401" w14:textId="77777777" w:rsidR="005245B3" w:rsidRDefault="00C3576F">
      <w:pPr>
        <w:pStyle w:val="a3"/>
        <w:spacing w:before="66"/>
        <w:jc w:val="left"/>
      </w:pPr>
      <w:proofErr w:type="spellStart"/>
      <w:r>
        <w:rPr>
          <w:spacing w:val="-2"/>
          <w:u w:val="single"/>
        </w:rPr>
        <w:lastRenderedPageBreak/>
        <w:t>Левотироксин</w:t>
      </w:r>
      <w:proofErr w:type="spellEnd"/>
    </w:p>
    <w:p w14:paraId="0C51DCBE" w14:textId="77777777" w:rsidR="005245B3" w:rsidRDefault="00C3576F">
      <w:pPr>
        <w:pStyle w:val="a3"/>
        <w:spacing w:before="3"/>
        <w:ind w:right="236"/>
      </w:pPr>
      <w:r>
        <w:t xml:space="preserve">Очень редко сообщалось о случаях гипотиреоза у пациентов, одновременно принимающих </w:t>
      </w:r>
      <w:proofErr w:type="spellStart"/>
      <w:r>
        <w:t>севеламера</w:t>
      </w:r>
      <w:proofErr w:type="spellEnd"/>
      <w:r>
        <w:t xml:space="preserve"> гидрохлорид (содержащий такой же активный ингредиент, как и </w:t>
      </w:r>
      <w:proofErr w:type="spellStart"/>
      <w:r>
        <w:t>севеламера</w:t>
      </w:r>
      <w:proofErr w:type="spellEnd"/>
      <w:r>
        <w:t xml:space="preserve"> карбонат) и </w:t>
      </w:r>
      <w:proofErr w:type="spellStart"/>
      <w:r>
        <w:t>левотироксин</w:t>
      </w:r>
      <w:proofErr w:type="spellEnd"/>
      <w:r>
        <w:t>. Поэтому рекомендуется тщательное наблюдение за уровнем ТТГ у</w:t>
      </w:r>
      <w:r>
        <w:rPr>
          <w:spacing w:val="-1"/>
        </w:rPr>
        <w:t xml:space="preserve"> </w:t>
      </w:r>
      <w:r>
        <w:t xml:space="preserve">пациентов, получающих </w:t>
      </w:r>
      <w:proofErr w:type="spellStart"/>
      <w:r>
        <w:t>севеламера</w:t>
      </w:r>
      <w:proofErr w:type="spellEnd"/>
      <w:r>
        <w:t xml:space="preserve"> карбонат совместно с </w:t>
      </w:r>
      <w:proofErr w:type="spellStart"/>
      <w:r>
        <w:t>левотироксином</w:t>
      </w:r>
      <w:proofErr w:type="spellEnd"/>
      <w:r>
        <w:t>.</w:t>
      </w:r>
    </w:p>
    <w:p w14:paraId="3B8E1A99" w14:textId="77777777" w:rsidR="005245B3" w:rsidRDefault="00C3576F">
      <w:pPr>
        <w:pStyle w:val="a3"/>
        <w:spacing w:line="274" w:lineRule="exact"/>
        <w:jc w:val="left"/>
      </w:pPr>
      <w:r>
        <w:rPr>
          <w:u w:val="single"/>
        </w:rPr>
        <w:t>Антиаритмические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противосудорожные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средства</w:t>
      </w:r>
    </w:p>
    <w:p w14:paraId="559F348D" w14:textId="722BEDD3" w:rsidR="005245B3" w:rsidRDefault="00C3576F">
      <w:pPr>
        <w:pStyle w:val="a3"/>
        <w:spacing w:before="2"/>
        <w:ind w:right="226"/>
      </w:pPr>
      <w:r>
        <w:t xml:space="preserve">Пациенты, принимающие антиаритмические средства для контроля аритмии и противосудорожные средства для контроля судорожных приступов, исключались из клинических исследований. По этой причине возможное снижение при абсорбции не может быть исключено. Прием антиаритмических средств должен быть, по крайней мере, за 1 час до или через 3 часа после приема препарата </w:t>
      </w:r>
      <w:proofErr w:type="spellStart"/>
      <w:r w:rsidR="00AB5FB6" w:rsidRPr="0047700E">
        <w:t>Севроже</w:t>
      </w:r>
      <w:proofErr w:type="spellEnd"/>
      <w:r>
        <w:t>. Необходим мониторинг уровня в крови.</w:t>
      </w:r>
    </w:p>
    <w:p w14:paraId="57AFDE50" w14:textId="77777777" w:rsidR="005245B3" w:rsidRDefault="00C3576F">
      <w:pPr>
        <w:pStyle w:val="a3"/>
        <w:spacing w:before="1" w:line="275" w:lineRule="exact"/>
        <w:jc w:val="left"/>
      </w:pPr>
      <w:r>
        <w:rPr>
          <w:u w:val="single"/>
        </w:rPr>
        <w:t>Ингибиторы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протонной</w:t>
      </w:r>
      <w:r>
        <w:rPr>
          <w:spacing w:val="-6"/>
          <w:u w:val="single"/>
        </w:rPr>
        <w:t xml:space="preserve"> </w:t>
      </w:r>
      <w:r>
        <w:rPr>
          <w:spacing w:val="-4"/>
          <w:u w:val="single"/>
        </w:rPr>
        <w:t>помпы</w:t>
      </w:r>
    </w:p>
    <w:p w14:paraId="10F07BC8" w14:textId="3729737A" w:rsidR="005245B3" w:rsidRDefault="00C3576F">
      <w:pPr>
        <w:pStyle w:val="a3"/>
        <w:ind w:right="228"/>
      </w:pPr>
      <w:r>
        <w:t xml:space="preserve">В период пострегистрационного применения у пациентов, которые принимали ингибиторы протонной помпы совместно с </w:t>
      </w:r>
      <w:proofErr w:type="spellStart"/>
      <w:r>
        <w:t>севеламера</w:t>
      </w:r>
      <w:proofErr w:type="spellEnd"/>
      <w:r>
        <w:t xml:space="preserve"> карбонатом, повышенный уровень фосфатов наблюдался в очень редких случаях. Следует соблюдать осторожность при назначении ИПП пациентам, одновременно получающим лечение препаратом </w:t>
      </w:r>
      <w:proofErr w:type="spellStart"/>
      <w:r w:rsidR="00AB5FB6" w:rsidRPr="0047700E">
        <w:t>Севроже</w:t>
      </w:r>
      <w:proofErr w:type="spellEnd"/>
      <w:r>
        <w:t xml:space="preserve">. Следует контролировать уровень фосфата в сыворотке и, соответственно, корректировать дозировку </w:t>
      </w:r>
      <w:proofErr w:type="spellStart"/>
      <w:r w:rsidR="00AB5FB6" w:rsidRPr="0047700E">
        <w:t>Севроже</w:t>
      </w:r>
      <w:proofErr w:type="spellEnd"/>
      <w:r>
        <w:t>.</w:t>
      </w:r>
    </w:p>
    <w:p w14:paraId="74C95D87" w14:textId="77777777" w:rsidR="005245B3" w:rsidRDefault="00C3576F">
      <w:pPr>
        <w:pStyle w:val="a3"/>
        <w:jc w:val="left"/>
      </w:pPr>
      <w:r>
        <w:rPr>
          <w:spacing w:val="-2"/>
          <w:u w:val="single"/>
        </w:rPr>
        <w:t>Биодоступность</w:t>
      </w:r>
    </w:p>
    <w:p w14:paraId="6C15F4E2" w14:textId="2CF087DA" w:rsidR="005245B3" w:rsidRDefault="00C3576F">
      <w:pPr>
        <w:pStyle w:val="a3"/>
        <w:spacing w:before="2"/>
        <w:ind w:right="232"/>
      </w:pPr>
      <w:r>
        <w:t xml:space="preserve">Препарат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не всасывается в ЖКТ и может влиять на биодоступность других лекарственных средств. При одновременном применении препарата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с другими препаратами, снижение биодоступности которых может иметь клиническое значение в отношении эффективности и безопасности, их следует принимать за один час до или через три часа после приема препарата </w:t>
      </w:r>
      <w:proofErr w:type="spellStart"/>
      <w:r w:rsidR="00AB5FB6" w:rsidRPr="0047700E">
        <w:t>Севроже</w:t>
      </w:r>
      <w:proofErr w:type="spellEnd"/>
      <w:r>
        <w:t>, или же врачу следует рассмотреть необходимость мониторинга их уровня в крови.</w:t>
      </w:r>
    </w:p>
    <w:p w14:paraId="21607139" w14:textId="77777777" w:rsidR="005245B3" w:rsidRDefault="00C3576F">
      <w:pPr>
        <w:pStyle w:val="a3"/>
        <w:spacing w:line="275" w:lineRule="exact"/>
        <w:jc w:val="left"/>
      </w:pPr>
      <w:proofErr w:type="spellStart"/>
      <w:r>
        <w:rPr>
          <w:u w:val="single"/>
        </w:rPr>
        <w:t>Дигоксин</w:t>
      </w:r>
      <w:proofErr w:type="spellEnd"/>
      <w:r>
        <w:rPr>
          <w:u w:val="single"/>
        </w:rPr>
        <w:t>,</w:t>
      </w:r>
      <w:r>
        <w:rPr>
          <w:spacing w:val="-4"/>
          <w:u w:val="single"/>
        </w:rPr>
        <w:t xml:space="preserve"> </w:t>
      </w:r>
      <w:proofErr w:type="spellStart"/>
      <w:r>
        <w:rPr>
          <w:u w:val="single"/>
        </w:rPr>
        <w:t>варфарин</w:t>
      </w:r>
      <w:proofErr w:type="spellEnd"/>
      <w:r>
        <w:rPr>
          <w:u w:val="single"/>
        </w:rPr>
        <w:t>,</w:t>
      </w:r>
      <w:r>
        <w:rPr>
          <w:spacing w:val="-4"/>
          <w:u w:val="single"/>
        </w:rPr>
        <w:t xml:space="preserve"> </w:t>
      </w:r>
      <w:proofErr w:type="spellStart"/>
      <w:r>
        <w:rPr>
          <w:u w:val="single"/>
        </w:rPr>
        <w:t>эналаприл</w:t>
      </w:r>
      <w:proofErr w:type="spellEnd"/>
      <w:r>
        <w:rPr>
          <w:spacing w:val="-6"/>
          <w:u w:val="single"/>
        </w:rPr>
        <w:t xml:space="preserve"> </w:t>
      </w:r>
      <w:r>
        <w:rPr>
          <w:u w:val="single"/>
        </w:rPr>
        <w:t>или</w:t>
      </w:r>
      <w:r>
        <w:rPr>
          <w:spacing w:val="-4"/>
          <w:u w:val="single"/>
        </w:rPr>
        <w:t xml:space="preserve"> </w:t>
      </w:r>
      <w:proofErr w:type="spellStart"/>
      <w:r>
        <w:rPr>
          <w:spacing w:val="-2"/>
          <w:u w:val="single"/>
        </w:rPr>
        <w:t>метопролол</w:t>
      </w:r>
      <w:proofErr w:type="spellEnd"/>
    </w:p>
    <w:p w14:paraId="0BE45993" w14:textId="77777777" w:rsidR="005245B3" w:rsidRDefault="00C3576F">
      <w:pPr>
        <w:pStyle w:val="a3"/>
        <w:ind w:right="233"/>
      </w:pPr>
      <w:r>
        <w:t xml:space="preserve">При изучении взаимодействия с другими лекарственными средствами у здоровых добровольцев, </w:t>
      </w:r>
      <w:proofErr w:type="spellStart"/>
      <w:r>
        <w:t>севеламера</w:t>
      </w:r>
      <w:proofErr w:type="spellEnd"/>
      <w:r>
        <w:t xml:space="preserve"> гидрохлорид (содержащий такой же активный ингредиент, как и </w:t>
      </w:r>
      <w:proofErr w:type="spellStart"/>
      <w:r>
        <w:t>севеламера</w:t>
      </w:r>
      <w:proofErr w:type="spellEnd"/>
      <w:r>
        <w:t xml:space="preserve"> карбонат) не оказывал влияния на </w:t>
      </w:r>
      <w:proofErr w:type="spellStart"/>
      <w:r>
        <w:t>биодоступность</w:t>
      </w:r>
      <w:proofErr w:type="spellEnd"/>
      <w:r>
        <w:t xml:space="preserve"> </w:t>
      </w:r>
      <w:proofErr w:type="spellStart"/>
      <w:r>
        <w:t>дигоксина</w:t>
      </w:r>
      <w:proofErr w:type="spellEnd"/>
      <w:r>
        <w:t xml:space="preserve">, </w:t>
      </w:r>
      <w:proofErr w:type="spellStart"/>
      <w:r>
        <w:t>варфарина</w:t>
      </w:r>
      <w:proofErr w:type="spellEnd"/>
      <w:r>
        <w:t xml:space="preserve">, </w:t>
      </w:r>
      <w:proofErr w:type="spellStart"/>
      <w:r>
        <w:t>эналаприла</w:t>
      </w:r>
      <w:proofErr w:type="spellEnd"/>
      <w:r>
        <w:t xml:space="preserve"> или </w:t>
      </w:r>
      <w:proofErr w:type="spellStart"/>
      <w:r>
        <w:t>метопролола</w:t>
      </w:r>
      <w:proofErr w:type="spellEnd"/>
      <w:r>
        <w:t>.</w:t>
      </w:r>
    </w:p>
    <w:p w14:paraId="524D02EA" w14:textId="77777777" w:rsidR="005245B3" w:rsidRDefault="005245B3">
      <w:pPr>
        <w:pStyle w:val="a3"/>
        <w:spacing w:before="7"/>
        <w:ind w:left="0"/>
        <w:jc w:val="left"/>
      </w:pPr>
    </w:p>
    <w:p w14:paraId="6F75B2C8" w14:textId="77777777" w:rsidR="005245B3" w:rsidRDefault="00C3576F">
      <w:pPr>
        <w:pStyle w:val="2"/>
        <w:numPr>
          <w:ilvl w:val="1"/>
          <w:numId w:val="3"/>
        </w:numPr>
        <w:tabs>
          <w:tab w:val="left" w:pos="580"/>
        </w:tabs>
        <w:spacing w:line="272" w:lineRule="exact"/>
        <w:ind w:left="579" w:hanging="361"/>
      </w:pPr>
      <w:r>
        <w:t>Фертильность,</w:t>
      </w:r>
      <w:r>
        <w:rPr>
          <w:spacing w:val="-2"/>
        </w:rPr>
        <w:t xml:space="preserve"> </w:t>
      </w:r>
      <w:r>
        <w:t>беременность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лактация</w:t>
      </w:r>
    </w:p>
    <w:p w14:paraId="11589274" w14:textId="77777777" w:rsidR="005245B3" w:rsidRDefault="00C3576F">
      <w:pPr>
        <w:spacing w:line="272" w:lineRule="exact"/>
        <w:ind w:left="219"/>
        <w:rPr>
          <w:i/>
          <w:sz w:val="24"/>
        </w:rPr>
      </w:pPr>
      <w:r>
        <w:rPr>
          <w:i/>
          <w:spacing w:val="-2"/>
          <w:sz w:val="24"/>
        </w:rPr>
        <w:t>Беременность</w:t>
      </w:r>
    </w:p>
    <w:p w14:paraId="0DF71FEB" w14:textId="77777777" w:rsidR="005245B3" w:rsidRDefault="00C3576F">
      <w:pPr>
        <w:pStyle w:val="a3"/>
        <w:spacing w:before="3"/>
        <w:ind w:right="226"/>
      </w:pPr>
      <w:r>
        <w:t xml:space="preserve">Данные о применении </w:t>
      </w:r>
      <w:proofErr w:type="spellStart"/>
      <w:r>
        <w:t>севеламера</w:t>
      </w:r>
      <w:proofErr w:type="spellEnd"/>
      <w:r>
        <w:t xml:space="preserve"> у беременных женщин отсутствуют или недостаточны. Исследования на животных показали некоторую репродуктивную токсичность при введении </w:t>
      </w:r>
      <w:proofErr w:type="spellStart"/>
      <w:r>
        <w:t>севеламера</w:t>
      </w:r>
      <w:proofErr w:type="spellEnd"/>
      <w:r>
        <w:t xml:space="preserve"> крысам в высоких дозах (см. раздел 5.3). Также было показано, что </w:t>
      </w:r>
      <w:proofErr w:type="spellStart"/>
      <w:r>
        <w:t>севеламер</w:t>
      </w:r>
      <w:proofErr w:type="spellEnd"/>
      <w:r>
        <w:t xml:space="preserve"> снижает всасывание некоторых витаминов, включая фолиевую кислоту (см. разделы 4.4 и 5.3). Потенциальный риск для человека </w:t>
      </w:r>
      <w:r>
        <w:rPr>
          <w:spacing w:val="-2"/>
        </w:rPr>
        <w:t>неизвестен.</w:t>
      </w:r>
    </w:p>
    <w:p w14:paraId="5C90418D" w14:textId="522CA749" w:rsidR="005245B3" w:rsidRDefault="00C3576F">
      <w:pPr>
        <w:pStyle w:val="a3"/>
        <w:ind w:right="240"/>
      </w:pPr>
      <w:r>
        <w:t xml:space="preserve">Препарат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следует назначать беременным женщинам только в случае крайней необходимости и только после тщательной оценки соотношения риск/польза как для матери, так и для плода.</w:t>
      </w:r>
    </w:p>
    <w:p w14:paraId="252FAD7E" w14:textId="77777777" w:rsidR="005245B3" w:rsidRDefault="00C3576F">
      <w:pPr>
        <w:spacing w:line="274" w:lineRule="exact"/>
        <w:ind w:left="219"/>
        <w:jc w:val="both"/>
        <w:rPr>
          <w:i/>
          <w:sz w:val="24"/>
        </w:rPr>
      </w:pPr>
      <w:r>
        <w:rPr>
          <w:i/>
          <w:sz w:val="24"/>
        </w:rPr>
        <w:t xml:space="preserve">Кормление </w:t>
      </w:r>
      <w:r>
        <w:rPr>
          <w:i/>
          <w:spacing w:val="-2"/>
          <w:sz w:val="24"/>
        </w:rPr>
        <w:t>грудью</w:t>
      </w:r>
    </w:p>
    <w:p w14:paraId="311F8A80" w14:textId="75BEB6AF" w:rsidR="005245B3" w:rsidRDefault="00C3576F">
      <w:pPr>
        <w:pStyle w:val="a3"/>
        <w:spacing w:before="3"/>
        <w:ind w:right="224"/>
      </w:pPr>
      <w:r>
        <w:t xml:space="preserve">Данных о выделении </w:t>
      </w:r>
      <w:proofErr w:type="spellStart"/>
      <w:r>
        <w:t>севеламера</w:t>
      </w:r>
      <w:proofErr w:type="spellEnd"/>
      <w:r>
        <w:t xml:space="preserve">/метаболитов с грудным молоком нет. Как известно, </w:t>
      </w:r>
      <w:proofErr w:type="spellStart"/>
      <w:r>
        <w:t>севеламер</w:t>
      </w:r>
      <w:proofErr w:type="spellEnd"/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всасывающимся</w:t>
      </w:r>
      <w:r>
        <w:rPr>
          <w:spacing w:val="-7"/>
        </w:rPr>
        <w:t xml:space="preserve"> </w:t>
      </w:r>
      <w:r>
        <w:t>веществом, что</w:t>
      </w:r>
      <w:r>
        <w:rPr>
          <w:spacing w:val="-2"/>
        </w:rPr>
        <w:t xml:space="preserve"> </w:t>
      </w:r>
      <w:r>
        <w:t>указывает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 xml:space="preserve">малую вероятность его выделения с грудным молоком. Решение о прекращении/продолжении грудного вскармливания или прекращении/продолжении терапии с препаратом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должно приниматься с учетом пользы грудного вскармливания для ребенка и пользы терапии препаратом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>для матери.</w:t>
      </w:r>
    </w:p>
    <w:p w14:paraId="22110E2B" w14:textId="77777777" w:rsidR="005245B3" w:rsidRDefault="00C3576F">
      <w:pPr>
        <w:spacing w:before="1"/>
        <w:ind w:left="219"/>
        <w:rPr>
          <w:i/>
          <w:sz w:val="24"/>
        </w:rPr>
      </w:pPr>
      <w:r>
        <w:rPr>
          <w:i/>
          <w:spacing w:val="-2"/>
          <w:sz w:val="24"/>
        </w:rPr>
        <w:t>Фертильность</w:t>
      </w:r>
    </w:p>
    <w:p w14:paraId="03594DE8" w14:textId="77777777" w:rsidR="005245B3" w:rsidRDefault="005245B3">
      <w:pPr>
        <w:rPr>
          <w:sz w:val="24"/>
        </w:rPr>
        <w:sectPr w:rsidR="005245B3">
          <w:pgSz w:w="11910" w:h="16840"/>
          <w:pgMar w:top="1040" w:right="900" w:bottom="280" w:left="1480" w:header="720" w:footer="720" w:gutter="0"/>
          <w:cols w:space="720"/>
        </w:sectPr>
      </w:pPr>
    </w:p>
    <w:p w14:paraId="140E7F4C" w14:textId="77777777" w:rsidR="005245B3" w:rsidRDefault="00C3576F">
      <w:pPr>
        <w:pStyle w:val="a3"/>
        <w:spacing w:before="66"/>
        <w:ind w:right="230"/>
      </w:pPr>
      <w:r>
        <w:lastRenderedPageBreak/>
        <w:t xml:space="preserve">Нет данных о действии </w:t>
      </w:r>
      <w:proofErr w:type="spellStart"/>
      <w:r>
        <w:t>севеламера</w:t>
      </w:r>
      <w:proofErr w:type="spellEnd"/>
      <w:r>
        <w:t xml:space="preserve"> на фертильность. Исследования на животных показали, что </w:t>
      </w:r>
      <w:proofErr w:type="spellStart"/>
      <w:r>
        <w:t>севеламер</w:t>
      </w:r>
      <w:proofErr w:type="spellEnd"/>
      <w:r>
        <w:t xml:space="preserve"> не нарушал фертильность у самцов и самок крыс при воздействии эквивалентной дозы для человека, в 2 раза превышающей максимальную клиническую пробную дозу 13 г/день, на основе сравнения относительного ППТ.</w:t>
      </w:r>
    </w:p>
    <w:p w14:paraId="0B363B10" w14:textId="77777777" w:rsidR="005245B3" w:rsidRDefault="005245B3">
      <w:pPr>
        <w:pStyle w:val="a3"/>
        <w:spacing w:before="10"/>
        <w:ind w:left="0"/>
        <w:jc w:val="left"/>
      </w:pPr>
    </w:p>
    <w:p w14:paraId="3A848DFC" w14:textId="77777777" w:rsidR="005245B3" w:rsidRDefault="00C3576F">
      <w:pPr>
        <w:pStyle w:val="2"/>
        <w:numPr>
          <w:ilvl w:val="1"/>
          <w:numId w:val="3"/>
        </w:numPr>
        <w:tabs>
          <w:tab w:val="left" w:pos="801"/>
        </w:tabs>
        <w:spacing w:before="1" w:line="237" w:lineRule="auto"/>
        <w:ind w:left="219" w:right="236" w:firstLine="0"/>
      </w:pPr>
      <w:r>
        <w:t>Влияние на способность управлять транспортными средствами и потенциально опасными механизмами</w:t>
      </w:r>
    </w:p>
    <w:p w14:paraId="0A47C6BB" w14:textId="77777777" w:rsidR="005245B3" w:rsidRDefault="00C3576F">
      <w:pPr>
        <w:pStyle w:val="a3"/>
        <w:spacing w:line="237" w:lineRule="auto"/>
        <w:ind w:right="240"/>
      </w:pPr>
      <w:proofErr w:type="spellStart"/>
      <w:r>
        <w:t>Севеламер</w:t>
      </w:r>
      <w:proofErr w:type="spellEnd"/>
      <w:r>
        <w:t xml:space="preserve"> не оказывает или имеет незначительное влияние на способность управлять транспортными средствами и потенциально опасными механизмами.</w:t>
      </w:r>
    </w:p>
    <w:p w14:paraId="7E9FA0AA" w14:textId="77777777" w:rsidR="005245B3" w:rsidRDefault="005245B3">
      <w:pPr>
        <w:pStyle w:val="a3"/>
        <w:spacing w:before="6"/>
        <w:ind w:left="0"/>
        <w:jc w:val="left"/>
      </w:pPr>
    </w:p>
    <w:p w14:paraId="4CE38475" w14:textId="77777777" w:rsidR="005245B3" w:rsidRDefault="00C3576F">
      <w:pPr>
        <w:pStyle w:val="2"/>
        <w:numPr>
          <w:ilvl w:val="1"/>
          <w:numId w:val="3"/>
        </w:numPr>
        <w:tabs>
          <w:tab w:val="left" w:pos="585"/>
        </w:tabs>
      </w:pPr>
      <w:r>
        <w:t>Нежелательные</w:t>
      </w:r>
      <w:r>
        <w:rPr>
          <w:spacing w:val="-5"/>
        </w:rPr>
        <w:t xml:space="preserve"> </w:t>
      </w:r>
      <w:r>
        <w:rPr>
          <w:spacing w:val="-2"/>
        </w:rPr>
        <w:t>реакции</w:t>
      </w:r>
    </w:p>
    <w:p w14:paraId="4F5D4928" w14:textId="77777777" w:rsidR="005245B3" w:rsidRDefault="00C3576F">
      <w:pPr>
        <w:pStyle w:val="a3"/>
        <w:ind w:right="229"/>
      </w:pPr>
      <w:r>
        <w:t>Определение частоты побочных явлений проводится в соответствии со следующими критериями: очень часто (≥ 1/10), часто (≥</w:t>
      </w:r>
      <w:r>
        <w:rPr>
          <w:spacing w:val="-2"/>
        </w:rPr>
        <w:t xml:space="preserve"> </w:t>
      </w:r>
      <w:r>
        <w:t xml:space="preserve">от 1/100 до </w:t>
      </w:r>
      <w:proofErr w:type="gramStart"/>
      <w:r>
        <w:t>&lt;</w:t>
      </w:r>
      <w:r>
        <w:rPr>
          <w:spacing w:val="-1"/>
        </w:rPr>
        <w:t xml:space="preserve"> </w:t>
      </w:r>
      <w:r>
        <w:t>1</w:t>
      </w:r>
      <w:proofErr w:type="gramEnd"/>
      <w:r>
        <w:t>/10), нечасто (≥</w:t>
      </w:r>
      <w:r>
        <w:rPr>
          <w:spacing w:val="-2"/>
        </w:rPr>
        <w:t xml:space="preserve"> </w:t>
      </w:r>
      <w:r>
        <w:t>от 1/1000 до &lt; 1/100), редко (≥ 1/10000 до &lt; 1/1000),</w:t>
      </w:r>
      <w:r>
        <w:rPr>
          <w:spacing w:val="-1"/>
        </w:rPr>
        <w:t xml:space="preserve"> </w:t>
      </w:r>
      <w:r>
        <w:t>очень редко (&lt; 1/10000), неизвестно (невозможно оценить на основании имеющихся данных.</w:t>
      </w:r>
    </w:p>
    <w:p w14:paraId="48CC5667" w14:textId="77777777" w:rsidR="005245B3" w:rsidRDefault="00C3576F">
      <w:pPr>
        <w:pStyle w:val="a3"/>
        <w:spacing w:line="275" w:lineRule="exact"/>
        <w:jc w:val="left"/>
      </w:pPr>
      <w:r>
        <w:rPr>
          <w:u w:val="single"/>
        </w:rPr>
        <w:t xml:space="preserve">Резюме профиля </w:t>
      </w:r>
      <w:r>
        <w:rPr>
          <w:spacing w:val="-2"/>
          <w:u w:val="single"/>
        </w:rPr>
        <w:t>безопасности</w:t>
      </w:r>
    </w:p>
    <w:p w14:paraId="621B8336" w14:textId="77777777" w:rsidR="005245B3" w:rsidRDefault="00C3576F">
      <w:pPr>
        <w:pStyle w:val="a3"/>
        <w:ind w:right="233"/>
      </w:pPr>
      <w:r>
        <w:t>Наиболее часто встречающиеся (≥ 5% пациентов) побочные реакции включали нарушения желудочно-кишечного тракта. Большинство из этих побочных реакций</w:t>
      </w:r>
      <w:r>
        <w:rPr>
          <w:spacing w:val="40"/>
        </w:rPr>
        <w:t xml:space="preserve"> </w:t>
      </w:r>
      <w:r>
        <w:t>были от легкой до умеренной интенсивности.</w:t>
      </w:r>
    </w:p>
    <w:p w14:paraId="548587A2" w14:textId="77777777" w:rsidR="005245B3" w:rsidRDefault="00C3576F">
      <w:pPr>
        <w:spacing w:before="1" w:line="275" w:lineRule="exact"/>
        <w:ind w:left="219"/>
        <w:rPr>
          <w:i/>
          <w:sz w:val="24"/>
        </w:rPr>
      </w:pPr>
      <w:r>
        <w:rPr>
          <w:i/>
          <w:spacing w:val="-4"/>
          <w:sz w:val="24"/>
        </w:rPr>
        <w:t>Дети</w:t>
      </w:r>
    </w:p>
    <w:p w14:paraId="21B1239A" w14:textId="77777777" w:rsidR="005245B3" w:rsidRDefault="00C3576F">
      <w:pPr>
        <w:pStyle w:val="a3"/>
        <w:spacing w:line="242" w:lineRule="auto"/>
        <w:ind w:right="192"/>
        <w:jc w:val="left"/>
      </w:pPr>
      <w:r>
        <w:t>Обычно профиль безопасности для детей и подростков (6-18 лет) идентичен профилю безопасности для взрослых.</w:t>
      </w:r>
    </w:p>
    <w:p w14:paraId="23AF84F1" w14:textId="77777777" w:rsidR="005245B3" w:rsidRDefault="00C3576F">
      <w:pPr>
        <w:pStyle w:val="a3"/>
        <w:spacing w:line="271" w:lineRule="exact"/>
        <w:jc w:val="left"/>
      </w:pPr>
      <w:r>
        <w:rPr>
          <w:u w:val="single"/>
        </w:rPr>
        <w:t>Табличное</w:t>
      </w:r>
      <w:r>
        <w:rPr>
          <w:spacing w:val="-8"/>
          <w:u w:val="single"/>
        </w:rPr>
        <w:t xml:space="preserve"> </w:t>
      </w:r>
      <w:r>
        <w:rPr>
          <w:u w:val="single"/>
        </w:rPr>
        <w:t>резюме</w:t>
      </w:r>
      <w:r>
        <w:rPr>
          <w:spacing w:val="-2"/>
          <w:u w:val="single"/>
        </w:rPr>
        <w:t xml:space="preserve"> </w:t>
      </w:r>
      <w:r>
        <w:rPr>
          <w:u w:val="single"/>
        </w:rPr>
        <w:t>нежелательных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реакций</w:t>
      </w:r>
    </w:p>
    <w:p w14:paraId="1F8BDBA8" w14:textId="77777777" w:rsidR="005245B3" w:rsidRDefault="00C3576F">
      <w:pPr>
        <w:pStyle w:val="a3"/>
        <w:spacing w:before="2" w:after="9"/>
        <w:ind w:right="222"/>
      </w:pPr>
      <w:r>
        <w:t xml:space="preserve">Безопасность </w:t>
      </w:r>
      <w:proofErr w:type="spellStart"/>
      <w:r>
        <w:t>севеламера</w:t>
      </w:r>
      <w:proofErr w:type="spellEnd"/>
      <w:r>
        <w:t xml:space="preserve"> (как карбонатных, так и </w:t>
      </w:r>
      <w:proofErr w:type="spellStart"/>
      <w:r>
        <w:t>гидрохлоридных</w:t>
      </w:r>
      <w:proofErr w:type="spellEnd"/>
      <w:r>
        <w:t xml:space="preserve"> солей) была исследована в многочисленных клинических испытаниях с участием 969 пациентов, находящихся на гемодиализе, с продолжительностью лечения от 4 до 50 недель (724 пациента, получавших </w:t>
      </w:r>
      <w:proofErr w:type="spellStart"/>
      <w:r>
        <w:t>севеламера</w:t>
      </w:r>
      <w:proofErr w:type="spellEnd"/>
      <w:r>
        <w:t xml:space="preserve"> гидрохлорид, и 245 - </w:t>
      </w:r>
      <w:proofErr w:type="spellStart"/>
      <w:r>
        <w:t>севеламера</w:t>
      </w:r>
      <w:proofErr w:type="spellEnd"/>
      <w:r>
        <w:t xml:space="preserve"> карбонат), 97 пациентов, находящиеся</w:t>
      </w:r>
      <w:r>
        <w:rPr>
          <w:spacing w:val="-2"/>
        </w:rPr>
        <w:t xml:space="preserve"> </w:t>
      </w:r>
      <w:r>
        <w:t xml:space="preserve">на </w:t>
      </w:r>
      <w:proofErr w:type="spellStart"/>
      <w:r>
        <w:t>перитонеальном</w:t>
      </w:r>
      <w:proofErr w:type="spellEnd"/>
      <w:r>
        <w:t xml:space="preserve"> диализе с</w:t>
      </w:r>
      <w:r>
        <w:rPr>
          <w:spacing w:val="-3"/>
        </w:rPr>
        <w:t xml:space="preserve"> </w:t>
      </w:r>
      <w:r>
        <w:t>продолжительностью</w:t>
      </w:r>
      <w:r>
        <w:rPr>
          <w:spacing w:val="-4"/>
        </w:rPr>
        <w:t xml:space="preserve"> </w:t>
      </w:r>
      <w:r>
        <w:t>лечения</w:t>
      </w:r>
      <w:r>
        <w:rPr>
          <w:spacing w:val="-2"/>
        </w:rPr>
        <w:t xml:space="preserve"> </w:t>
      </w:r>
      <w:r>
        <w:t xml:space="preserve">12 недель (все принимали </w:t>
      </w:r>
      <w:proofErr w:type="spellStart"/>
      <w:r>
        <w:t>севеламера</w:t>
      </w:r>
      <w:proofErr w:type="spellEnd"/>
      <w:r>
        <w:t xml:space="preserve"> гидрохлорид) и 128 пациентов с ХБП, не находящиеся на диализе с продолжительностью лечения от 8 до 12 недель (79 пациентов с </w:t>
      </w:r>
      <w:proofErr w:type="spellStart"/>
      <w:r>
        <w:t>севеламера</w:t>
      </w:r>
      <w:proofErr w:type="spellEnd"/>
      <w:r>
        <w:t xml:space="preserve"> гидрохлоридом и 49 с </w:t>
      </w:r>
      <w:proofErr w:type="spellStart"/>
      <w:r>
        <w:t>севеламера</w:t>
      </w:r>
      <w:proofErr w:type="spellEnd"/>
      <w:r>
        <w:t xml:space="preserve"> карбонатом).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3"/>
        <w:gridCol w:w="1220"/>
        <w:gridCol w:w="1359"/>
        <w:gridCol w:w="1061"/>
        <w:gridCol w:w="3649"/>
      </w:tblGrid>
      <w:tr w:rsidR="005245B3" w14:paraId="4935ACEC" w14:textId="77777777">
        <w:trPr>
          <w:trHeight w:val="825"/>
        </w:trPr>
        <w:tc>
          <w:tcPr>
            <w:tcW w:w="2003" w:type="dxa"/>
          </w:tcPr>
          <w:p w14:paraId="53768828" w14:textId="77777777" w:rsidR="005245B3" w:rsidRDefault="00C3576F">
            <w:pPr>
              <w:pStyle w:val="TableParagraph"/>
              <w:spacing w:line="237" w:lineRule="auto"/>
              <w:ind w:right="80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MedDRA</w:t>
            </w:r>
            <w:proofErr w:type="spellEnd"/>
            <w:r>
              <w:rPr>
                <w:b/>
                <w:spacing w:val="-2"/>
                <w:sz w:val="24"/>
              </w:rPr>
              <w:t xml:space="preserve"> системно-</w:t>
            </w:r>
          </w:p>
          <w:p w14:paraId="0552555B" w14:textId="77777777" w:rsidR="005245B3" w:rsidRDefault="00C3576F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класс</w:t>
            </w:r>
          </w:p>
        </w:tc>
        <w:tc>
          <w:tcPr>
            <w:tcW w:w="1220" w:type="dxa"/>
          </w:tcPr>
          <w:p w14:paraId="42A129F9" w14:textId="77777777" w:rsidR="005245B3" w:rsidRDefault="00C3576F">
            <w:pPr>
              <w:pStyle w:val="TableParagraph"/>
              <w:spacing w:line="237" w:lineRule="auto"/>
              <w:ind w:left="109" w:right="3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Очень часто</w:t>
            </w:r>
          </w:p>
        </w:tc>
        <w:tc>
          <w:tcPr>
            <w:tcW w:w="1359" w:type="dxa"/>
          </w:tcPr>
          <w:p w14:paraId="3BD40BDA" w14:textId="77777777" w:rsidR="005245B3" w:rsidRDefault="00C3576F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Часто</w:t>
            </w:r>
          </w:p>
        </w:tc>
        <w:tc>
          <w:tcPr>
            <w:tcW w:w="1061" w:type="dxa"/>
          </w:tcPr>
          <w:p w14:paraId="50D76E3B" w14:textId="77777777" w:rsidR="005245B3" w:rsidRDefault="00C3576F">
            <w:pPr>
              <w:pStyle w:val="TableParagraph"/>
              <w:spacing w:line="237" w:lineRule="auto"/>
              <w:ind w:left="109" w:righ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Очень </w:t>
            </w:r>
            <w:r>
              <w:rPr>
                <w:b/>
                <w:spacing w:val="-4"/>
                <w:sz w:val="24"/>
              </w:rPr>
              <w:t>редко</w:t>
            </w:r>
          </w:p>
        </w:tc>
        <w:tc>
          <w:tcPr>
            <w:tcW w:w="3649" w:type="dxa"/>
          </w:tcPr>
          <w:p w14:paraId="73ACA493" w14:textId="77777777" w:rsidR="005245B3" w:rsidRDefault="00C3576F">
            <w:pPr>
              <w:pStyle w:val="TableParagraph"/>
              <w:tabs>
                <w:tab w:val="left" w:pos="1567"/>
                <w:tab w:val="left" w:pos="2158"/>
                <w:tab w:val="left" w:pos="2397"/>
              </w:tabs>
              <w:spacing w:line="237" w:lineRule="auto"/>
              <w:ind w:left="109" w:righ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Неизвестно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(невозможно оценить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на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основании</w:t>
            </w:r>
          </w:p>
          <w:p w14:paraId="41327EC2" w14:textId="77777777" w:rsidR="005245B3" w:rsidRDefault="00C3576F">
            <w:pPr>
              <w:pStyle w:val="TableParagraph"/>
              <w:spacing w:before="2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имеющихся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данных)</w:t>
            </w:r>
          </w:p>
        </w:tc>
      </w:tr>
      <w:tr w:rsidR="005245B3" w14:paraId="72762AA9" w14:textId="77777777">
        <w:trPr>
          <w:trHeight w:val="1104"/>
        </w:trPr>
        <w:tc>
          <w:tcPr>
            <w:tcW w:w="2003" w:type="dxa"/>
          </w:tcPr>
          <w:p w14:paraId="2B37A869" w14:textId="77777777" w:rsidR="005245B3" w:rsidRDefault="00C3576F">
            <w:pPr>
              <w:pStyle w:val="TableParagraph"/>
              <w:ind w:right="702"/>
              <w:rPr>
                <w:sz w:val="24"/>
              </w:rPr>
            </w:pPr>
            <w:r>
              <w:rPr>
                <w:spacing w:val="-2"/>
                <w:sz w:val="24"/>
              </w:rPr>
              <w:t>Нарушения иммунной системы</w:t>
            </w:r>
          </w:p>
        </w:tc>
        <w:tc>
          <w:tcPr>
            <w:tcW w:w="1220" w:type="dxa"/>
          </w:tcPr>
          <w:p w14:paraId="11449359" w14:textId="77777777" w:rsidR="005245B3" w:rsidRDefault="005245B3">
            <w:pPr>
              <w:pStyle w:val="TableParagraph"/>
              <w:ind w:left="0"/>
            </w:pPr>
          </w:p>
        </w:tc>
        <w:tc>
          <w:tcPr>
            <w:tcW w:w="1359" w:type="dxa"/>
          </w:tcPr>
          <w:p w14:paraId="0ED57096" w14:textId="77777777" w:rsidR="005245B3" w:rsidRDefault="005245B3">
            <w:pPr>
              <w:pStyle w:val="TableParagraph"/>
              <w:ind w:left="0"/>
            </w:pPr>
          </w:p>
        </w:tc>
        <w:tc>
          <w:tcPr>
            <w:tcW w:w="1061" w:type="dxa"/>
          </w:tcPr>
          <w:p w14:paraId="2D4CE743" w14:textId="77777777" w:rsidR="005245B3" w:rsidRDefault="00C3576F">
            <w:pPr>
              <w:pStyle w:val="TableParagraph"/>
              <w:ind w:left="109" w:right="172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Гипер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чувст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витель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14:paraId="7A50B4BA" w14:textId="77777777" w:rsidR="005245B3" w:rsidRDefault="00C3576F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ность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3649" w:type="dxa"/>
          </w:tcPr>
          <w:p w14:paraId="0532370A" w14:textId="77777777" w:rsidR="005245B3" w:rsidRDefault="005245B3">
            <w:pPr>
              <w:pStyle w:val="TableParagraph"/>
              <w:ind w:left="0"/>
            </w:pPr>
          </w:p>
        </w:tc>
      </w:tr>
      <w:tr w:rsidR="005245B3" w14:paraId="430B873D" w14:textId="77777777">
        <w:trPr>
          <w:trHeight w:val="2486"/>
        </w:trPr>
        <w:tc>
          <w:tcPr>
            <w:tcW w:w="2003" w:type="dxa"/>
          </w:tcPr>
          <w:p w14:paraId="3A4F7FCB" w14:textId="77777777" w:rsidR="005245B3" w:rsidRDefault="00C3576F">
            <w:pPr>
              <w:pStyle w:val="TableParagraph"/>
              <w:ind w:right="672"/>
              <w:rPr>
                <w:sz w:val="24"/>
              </w:rPr>
            </w:pPr>
            <w:r>
              <w:rPr>
                <w:spacing w:val="-2"/>
                <w:sz w:val="24"/>
              </w:rPr>
              <w:t>Нарушения желудочно- кишечного тракта</w:t>
            </w:r>
          </w:p>
        </w:tc>
        <w:tc>
          <w:tcPr>
            <w:tcW w:w="1220" w:type="dxa"/>
          </w:tcPr>
          <w:p w14:paraId="16E665E4" w14:textId="77777777" w:rsidR="005245B3" w:rsidRDefault="00C3576F">
            <w:pPr>
              <w:pStyle w:val="TableParagraph"/>
              <w:tabs>
                <w:tab w:val="left" w:pos="1001"/>
              </w:tabs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тошнота, рвота, </w:t>
            </w:r>
            <w:r>
              <w:rPr>
                <w:spacing w:val="-4"/>
                <w:sz w:val="24"/>
              </w:rPr>
              <w:t>боль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верхней </w:t>
            </w:r>
            <w:r>
              <w:rPr>
                <w:spacing w:val="-4"/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живота, запор</w:t>
            </w:r>
          </w:p>
        </w:tc>
        <w:tc>
          <w:tcPr>
            <w:tcW w:w="1359" w:type="dxa"/>
          </w:tcPr>
          <w:p w14:paraId="1FDF98D2" w14:textId="77777777" w:rsidR="005245B3" w:rsidRDefault="00C3576F">
            <w:pPr>
              <w:pStyle w:val="TableParagraph"/>
              <w:ind w:left="104" w:righ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диарея, диспепсия, метеоризм, </w:t>
            </w:r>
            <w:proofErr w:type="spellStart"/>
            <w:r>
              <w:rPr>
                <w:spacing w:val="-2"/>
                <w:sz w:val="24"/>
              </w:rPr>
              <w:t>абдоми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нальные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боли</w:t>
            </w:r>
          </w:p>
        </w:tc>
        <w:tc>
          <w:tcPr>
            <w:tcW w:w="1061" w:type="dxa"/>
          </w:tcPr>
          <w:p w14:paraId="5FF68495" w14:textId="77777777" w:rsidR="005245B3" w:rsidRDefault="005245B3">
            <w:pPr>
              <w:pStyle w:val="TableParagraph"/>
              <w:ind w:left="0"/>
            </w:pPr>
          </w:p>
        </w:tc>
        <w:tc>
          <w:tcPr>
            <w:tcW w:w="3649" w:type="dxa"/>
          </w:tcPr>
          <w:p w14:paraId="0F492F3C" w14:textId="77777777" w:rsidR="005245B3" w:rsidRDefault="00C3576F">
            <w:pPr>
              <w:pStyle w:val="TableParagraph"/>
              <w:tabs>
                <w:tab w:val="left" w:pos="1798"/>
                <w:tab w:val="left" w:pos="2268"/>
                <w:tab w:val="left" w:pos="2349"/>
                <w:tab w:val="left" w:pos="2513"/>
                <w:tab w:val="left" w:pos="2629"/>
                <w:tab w:val="left" w:pos="3431"/>
              </w:tabs>
              <w:ind w:left="109" w:right="91"/>
              <w:rPr>
                <w:sz w:val="24"/>
              </w:rPr>
            </w:pPr>
            <w:r>
              <w:rPr>
                <w:spacing w:val="-2"/>
                <w:sz w:val="24"/>
              </w:rPr>
              <w:t>кишечная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непроходимость, полная/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частичная непроходимость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кишечника, перфорация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кишечника</w:t>
            </w:r>
            <w:r>
              <w:rPr>
                <w:spacing w:val="-2"/>
                <w:sz w:val="24"/>
                <w:vertAlign w:val="superscript"/>
              </w:rPr>
              <w:t>1</w:t>
            </w:r>
            <w:r>
              <w:rPr>
                <w:spacing w:val="-2"/>
                <w:sz w:val="24"/>
              </w:rPr>
              <w:t>, желудочно-кишечное кровотечение*</w:t>
            </w:r>
            <w:r>
              <w:rPr>
                <w:spacing w:val="-2"/>
                <w:sz w:val="24"/>
                <w:vertAlign w:val="superscript"/>
              </w:rPr>
              <w:t>1</w:t>
            </w:r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z w:val="24"/>
              </w:rPr>
              <w:t>язвы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желудочно-</w:t>
            </w:r>
            <w:r>
              <w:rPr>
                <w:spacing w:val="-2"/>
                <w:sz w:val="24"/>
              </w:rPr>
              <w:t>кишечном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тракте*</w:t>
            </w:r>
            <w:r>
              <w:rPr>
                <w:spacing w:val="-2"/>
                <w:sz w:val="24"/>
                <w:vertAlign w:val="superscript"/>
              </w:rPr>
              <w:t>1</w:t>
            </w:r>
            <w:r>
              <w:rPr>
                <w:spacing w:val="-2"/>
                <w:sz w:val="24"/>
              </w:rPr>
              <w:t>,</w:t>
            </w:r>
          </w:p>
          <w:p w14:paraId="05A5C1E1" w14:textId="77777777" w:rsidR="005245B3" w:rsidRDefault="00C3576F">
            <w:pPr>
              <w:pStyle w:val="TableParagraph"/>
              <w:tabs>
                <w:tab w:val="left" w:pos="2600"/>
              </w:tabs>
              <w:spacing w:line="274" w:lineRule="exact"/>
              <w:ind w:left="109" w:right="91"/>
              <w:rPr>
                <w:sz w:val="24"/>
              </w:rPr>
            </w:pPr>
            <w:r>
              <w:rPr>
                <w:spacing w:val="-2"/>
                <w:sz w:val="24"/>
              </w:rPr>
              <w:t>желудочно-кишечный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некроз*</w:t>
            </w:r>
            <w:r>
              <w:rPr>
                <w:spacing w:val="-2"/>
                <w:sz w:val="24"/>
                <w:vertAlign w:val="superscript"/>
              </w:rPr>
              <w:t>1</w:t>
            </w:r>
            <w:r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>колит*1, кишечные массы*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5245B3" w14:paraId="03A26ACB" w14:textId="77777777">
        <w:trPr>
          <w:trHeight w:val="1104"/>
        </w:trPr>
        <w:tc>
          <w:tcPr>
            <w:tcW w:w="2003" w:type="dxa"/>
          </w:tcPr>
          <w:p w14:paraId="2C501956" w14:textId="77777777" w:rsidR="005245B3" w:rsidRDefault="00C3576F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Нарушения со стороны кожи и </w:t>
            </w:r>
            <w:r>
              <w:rPr>
                <w:spacing w:val="-2"/>
                <w:sz w:val="24"/>
              </w:rPr>
              <w:t>подкожных</w:t>
            </w:r>
          </w:p>
          <w:p w14:paraId="17E8BA7B" w14:textId="77777777" w:rsidR="005245B3" w:rsidRDefault="00C3576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тканей</w:t>
            </w:r>
          </w:p>
        </w:tc>
        <w:tc>
          <w:tcPr>
            <w:tcW w:w="1220" w:type="dxa"/>
          </w:tcPr>
          <w:p w14:paraId="5646CA0A" w14:textId="77777777" w:rsidR="005245B3" w:rsidRDefault="005245B3">
            <w:pPr>
              <w:pStyle w:val="TableParagraph"/>
              <w:ind w:left="0"/>
            </w:pPr>
          </w:p>
        </w:tc>
        <w:tc>
          <w:tcPr>
            <w:tcW w:w="1359" w:type="dxa"/>
          </w:tcPr>
          <w:p w14:paraId="74C1B4CD" w14:textId="77777777" w:rsidR="005245B3" w:rsidRDefault="005245B3">
            <w:pPr>
              <w:pStyle w:val="TableParagraph"/>
              <w:ind w:left="0"/>
            </w:pPr>
          </w:p>
        </w:tc>
        <w:tc>
          <w:tcPr>
            <w:tcW w:w="1061" w:type="dxa"/>
          </w:tcPr>
          <w:p w14:paraId="46420E24" w14:textId="77777777" w:rsidR="005245B3" w:rsidRDefault="005245B3">
            <w:pPr>
              <w:pStyle w:val="TableParagraph"/>
              <w:ind w:left="0"/>
            </w:pPr>
          </w:p>
        </w:tc>
        <w:tc>
          <w:tcPr>
            <w:tcW w:w="3649" w:type="dxa"/>
          </w:tcPr>
          <w:p w14:paraId="6F2543AE" w14:textId="77777777" w:rsidR="005245B3" w:rsidRDefault="00C3576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Зуд,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сыпь</w:t>
            </w:r>
          </w:p>
        </w:tc>
      </w:tr>
      <w:tr w:rsidR="005245B3" w14:paraId="259F4D5F" w14:textId="77777777">
        <w:trPr>
          <w:trHeight w:val="273"/>
        </w:trPr>
        <w:tc>
          <w:tcPr>
            <w:tcW w:w="2003" w:type="dxa"/>
          </w:tcPr>
          <w:p w14:paraId="08E79589" w14:textId="77777777" w:rsidR="005245B3" w:rsidRDefault="00C3576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Исследования</w:t>
            </w:r>
          </w:p>
        </w:tc>
        <w:tc>
          <w:tcPr>
            <w:tcW w:w="1220" w:type="dxa"/>
          </w:tcPr>
          <w:p w14:paraId="37606D8E" w14:textId="77777777" w:rsidR="005245B3" w:rsidRDefault="005245B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59" w:type="dxa"/>
          </w:tcPr>
          <w:p w14:paraId="0957B0B0" w14:textId="77777777" w:rsidR="005245B3" w:rsidRDefault="005245B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1" w:type="dxa"/>
          </w:tcPr>
          <w:p w14:paraId="04220A16" w14:textId="77777777" w:rsidR="005245B3" w:rsidRDefault="005245B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49" w:type="dxa"/>
          </w:tcPr>
          <w:p w14:paraId="28E99FAC" w14:textId="77777777" w:rsidR="005245B3" w:rsidRDefault="00C3576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Выкристаллизовывающийся</w:t>
            </w:r>
          </w:p>
        </w:tc>
      </w:tr>
    </w:tbl>
    <w:p w14:paraId="6B67FEB7" w14:textId="77777777" w:rsidR="005245B3" w:rsidRDefault="005245B3">
      <w:pPr>
        <w:spacing w:line="253" w:lineRule="exact"/>
        <w:rPr>
          <w:sz w:val="24"/>
        </w:rPr>
        <w:sectPr w:rsidR="005245B3">
          <w:pgSz w:w="11910" w:h="16840"/>
          <w:pgMar w:top="1040" w:right="900" w:bottom="1174" w:left="148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3"/>
        <w:gridCol w:w="1220"/>
        <w:gridCol w:w="1359"/>
        <w:gridCol w:w="1061"/>
        <w:gridCol w:w="3649"/>
      </w:tblGrid>
      <w:tr w:rsidR="005245B3" w14:paraId="2B3905BF" w14:textId="77777777">
        <w:trPr>
          <w:trHeight w:val="277"/>
        </w:trPr>
        <w:tc>
          <w:tcPr>
            <w:tcW w:w="2003" w:type="dxa"/>
          </w:tcPr>
          <w:p w14:paraId="0FA39E15" w14:textId="77777777" w:rsidR="005245B3" w:rsidRDefault="005245B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20" w:type="dxa"/>
          </w:tcPr>
          <w:p w14:paraId="12F438D0" w14:textId="77777777" w:rsidR="005245B3" w:rsidRDefault="005245B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59" w:type="dxa"/>
          </w:tcPr>
          <w:p w14:paraId="3E344B58" w14:textId="77777777" w:rsidR="005245B3" w:rsidRDefault="005245B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1" w:type="dxa"/>
          </w:tcPr>
          <w:p w14:paraId="773B4941" w14:textId="77777777" w:rsidR="005245B3" w:rsidRDefault="005245B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49" w:type="dxa"/>
          </w:tcPr>
          <w:p w14:paraId="38763E19" w14:textId="77777777" w:rsidR="005245B3" w:rsidRDefault="00C3576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кишечник*</w:t>
            </w:r>
            <w:r>
              <w:rPr>
                <w:spacing w:val="-2"/>
                <w:sz w:val="24"/>
                <w:vertAlign w:val="superscript"/>
              </w:rPr>
              <w:t>1</w:t>
            </w:r>
          </w:p>
        </w:tc>
      </w:tr>
    </w:tbl>
    <w:p w14:paraId="459E40DC" w14:textId="77777777" w:rsidR="005245B3" w:rsidRDefault="00C3576F">
      <w:pPr>
        <w:spacing w:before="11"/>
        <w:ind w:left="219"/>
        <w:rPr>
          <w:sz w:val="20"/>
        </w:rPr>
      </w:pPr>
      <w:r>
        <w:rPr>
          <w:spacing w:val="-2"/>
          <w:sz w:val="20"/>
        </w:rPr>
        <w:t>*</w:t>
      </w:r>
      <w:r>
        <w:rPr>
          <w:spacing w:val="4"/>
          <w:sz w:val="20"/>
        </w:rPr>
        <w:t xml:space="preserve"> </w:t>
      </w:r>
      <w:proofErr w:type="spellStart"/>
      <w:r>
        <w:rPr>
          <w:spacing w:val="-2"/>
          <w:sz w:val="20"/>
        </w:rPr>
        <w:t>постмаркетинговый</w:t>
      </w:r>
      <w:proofErr w:type="spellEnd"/>
      <w:r>
        <w:rPr>
          <w:spacing w:val="4"/>
          <w:sz w:val="20"/>
        </w:rPr>
        <w:t xml:space="preserve"> </w:t>
      </w:r>
      <w:r>
        <w:rPr>
          <w:spacing w:val="-4"/>
          <w:sz w:val="20"/>
        </w:rPr>
        <w:t>опыт</w:t>
      </w:r>
    </w:p>
    <w:p w14:paraId="632B14E8" w14:textId="77777777" w:rsidR="005245B3" w:rsidRDefault="00C3576F">
      <w:pPr>
        <w:ind w:left="219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8"/>
          <w:sz w:val="20"/>
        </w:rPr>
        <w:t xml:space="preserve"> </w:t>
      </w:r>
      <w:r>
        <w:rPr>
          <w:sz w:val="20"/>
        </w:rPr>
        <w:t>см.</w:t>
      </w:r>
      <w:r>
        <w:rPr>
          <w:spacing w:val="-7"/>
          <w:sz w:val="20"/>
        </w:rPr>
        <w:t xml:space="preserve"> </w:t>
      </w:r>
      <w:r>
        <w:rPr>
          <w:sz w:val="20"/>
        </w:rPr>
        <w:t>предупреждение</w:t>
      </w:r>
      <w:r>
        <w:rPr>
          <w:spacing w:val="-7"/>
          <w:sz w:val="20"/>
        </w:rPr>
        <w:t xml:space="preserve"> </w:t>
      </w:r>
      <w:r>
        <w:rPr>
          <w:sz w:val="20"/>
        </w:rPr>
        <w:t>о</w:t>
      </w:r>
      <w:r>
        <w:rPr>
          <w:spacing w:val="-13"/>
          <w:sz w:val="20"/>
        </w:rPr>
        <w:t xml:space="preserve"> </w:t>
      </w:r>
      <w:r>
        <w:rPr>
          <w:sz w:val="20"/>
        </w:rPr>
        <w:t>воспалительных</w:t>
      </w:r>
      <w:r>
        <w:rPr>
          <w:spacing w:val="-9"/>
          <w:sz w:val="20"/>
        </w:rPr>
        <w:t xml:space="preserve"> </w:t>
      </w:r>
      <w:r>
        <w:rPr>
          <w:sz w:val="20"/>
        </w:rPr>
        <w:t>заболеваниях</w:t>
      </w:r>
      <w:r>
        <w:rPr>
          <w:spacing w:val="-5"/>
          <w:sz w:val="20"/>
        </w:rPr>
        <w:t xml:space="preserve"> </w:t>
      </w:r>
      <w:r>
        <w:rPr>
          <w:sz w:val="20"/>
        </w:rPr>
        <w:t>желудочно-кишечного</w:t>
      </w:r>
      <w:r>
        <w:rPr>
          <w:spacing w:val="-13"/>
          <w:sz w:val="20"/>
        </w:rPr>
        <w:t xml:space="preserve"> </w:t>
      </w:r>
      <w:r>
        <w:rPr>
          <w:sz w:val="20"/>
        </w:rPr>
        <w:t>тракта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разделе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4.4</w:t>
      </w:r>
    </w:p>
    <w:p w14:paraId="06CDF215" w14:textId="77777777" w:rsidR="005245B3" w:rsidRDefault="005245B3">
      <w:pPr>
        <w:pStyle w:val="a3"/>
        <w:spacing w:before="11"/>
        <w:ind w:left="0"/>
        <w:jc w:val="left"/>
        <w:rPr>
          <w:sz w:val="23"/>
        </w:rPr>
      </w:pPr>
    </w:p>
    <w:p w14:paraId="25CCD564" w14:textId="77777777" w:rsidR="005245B3" w:rsidRDefault="00C3576F">
      <w:pPr>
        <w:pStyle w:val="2"/>
      </w:pPr>
      <w:r>
        <w:t>Сообщение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подозреваемых</w:t>
      </w:r>
      <w:r>
        <w:rPr>
          <w:spacing w:val="-7"/>
        </w:rPr>
        <w:t xml:space="preserve"> </w:t>
      </w:r>
      <w:r>
        <w:t>нежелательных</w:t>
      </w:r>
      <w:r>
        <w:rPr>
          <w:spacing w:val="-1"/>
        </w:rPr>
        <w:t xml:space="preserve"> </w:t>
      </w:r>
      <w:r>
        <w:rPr>
          <w:spacing w:val="-2"/>
        </w:rPr>
        <w:t>реакциях</w:t>
      </w:r>
    </w:p>
    <w:p w14:paraId="3E2314ED" w14:textId="77777777" w:rsidR="005245B3" w:rsidRDefault="00C3576F">
      <w:pPr>
        <w:pStyle w:val="a3"/>
        <w:ind w:right="229"/>
      </w:pPr>
      <w:r>
        <w:t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</w:t>
      </w:r>
      <w:r>
        <w:rPr>
          <w:spacing w:val="-1"/>
        </w:rPr>
        <w:t xml:space="preserve"> </w:t>
      </w:r>
      <w:r>
        <w:t>реакциях</w:t>
      </w:r>
      <w:r>
        <w:rPr>
          <w:spacing w:val="-1"/>
        </w:rPr>
        <w:t xml:space="preserve"> </w:t>
      </w:r>
      <w:r>
        <w:t>ЛП через национальную систему</w:t>
      </w:r>
      <w:r>
        <w:rPr>
          <w:spacing w:val="-6"/>
        </w:rPr>
        <w:t xml:space="preserve"> </w:t>
      </w:r>
      <w:r>
        <w:t>сообщения</w:t>
      </w:r>
      <w:r>
        <w:rPr>
          <w:spacing w:val="-6"/>
        </w:rPr>
        <w:t xml:space="preserve"> </w:t>
      </w:r>
      <w:r>
        <w:t>о нежелательных реакциях РК.</w:t>
      </w:r>
    </w:p>
    <w:p w14:paraId="62E69965" w14:textId="77777777" w:rsidR="005245B3" w:rsidRDefault="00C3576F">
      <w:pPr>
        <w:pStyle w:val="a3"/>
        <w:ind w:right="231"/>
      </w:pPr>
      <w:r>
        <w:t>РГП на ПХВ «Национальный Центр экспертизы лекарственных средств и</w:t>
      </w:r>
      <w:r>
        <w:rPr>
          <w:spacing w:val="-2"/>
        </w:rPr>
        <w:t xml:space="preserve"> </w:t>
      </w:r>
      <w:r>
        <w:t>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4397949A" w14:textId="77777777" w:rsidR="005245B3" w:rsidRDefault="000B5F87">
      <w:pPr>
        <w:pStyle w:val="a3"/>
        <w:jc w:val="left"/>
      </w:pPr>
      <w:hyperlink r:id="rId5">
        <w:r w:rsidR="00C3576F">
          <w:rPr>
            <w:spacing w:val="-2"/>
          </w:rPr>
          <w:t>http://www.ndda.kz</w:t>
        </w:r>
      </w:hyperlink>
    </w:p>
    <w:p w14:paraId="292CBAC7" w14:textId="77777777" w:rsidR="005245B3" w:rsidRDefault="005245B3">
      <w:pPr>
        <w:pStyle w:val="a3"/>
        <w:spacing w:before="4"/>
        <w:ind w:left="0"/>
        <w:jc w:val="left"/>
      </w:pPr>
    </w:p>
    <w:p w14:paraId="34062E2C" w14:textId="77777777" w:rsidR="005245B3" w:rsidRDefault="00C3576F">
      <w:pPr>
        <w:pStyle w:val="2"/>
        <w:numPr>
          <w:ilvl w:val="1"/>
          <w:numId w:val="3"/>
        </w:numPr>
        <w:tabs>
          <w:tab w:val="left" w:pos="584"/>
        </w:tabs>
        <w:spacing w:line="272" w:lineRule="exact"/>
        <w:ind w:left="584" w:hanging="365"/>
      </w:pPr>
      <w:r>
        <w:rPr>
          <w:spacing w:val="-2"/>
        </w:rPr>
        <w:t>Передозировка</w:t>
      </w:r>
    </w:p>
    <w:p w14:paraId="6C262B91" w14:textId="77777777" w:rsidR="005245B3" w:rsidRDefault="00C3576F">
      <w:pPr>
        <w:pStyle w:val="a3"/>
        <w:ind w:right="230"/>
      </w:pPr>
      <w:r>
        <w:t xml:space="preserve">Известно о приеме </w:t>
      </w:r>
      <w:proofErr w:type="spellStart"/>
      <w:r>
        <w:t>севеламера</w:t>
      </w:r>
      <w:proofErr w:type="spellEnd"/>
      <w:r>
        <w:t xml:space="preserve"> гидрохлорида, который содержит тот же самый активный компонент как </w:t>
      </w:r>
      <w:proofErr w:type="spellStart"/>
      <w:r>
        <w:t>севеламера</w:t>
      </w:r>
      <w:proofErr w:type="spellEnd"/>
      <w:r>
        <w:t xml:space="preserve"> карбонат, здоровыми добровольцами в дозе 14 г в день в течение 8 дней без побочных эффектов. У пациентов с хронической болезнью почек изучалась максимальная средняя суточная доза 14,4 г </w:t>
      </w:r>
      <w:proofErr w:type="spellStart"/>
      <w:r>
        <w:t>севеламера</w:t>
      </w:r>
      <w:proofErr w:type="spellEnd"/>
      <w:r>
        <w:t xml:space="preserve"> карбоната в однократной суточной дозе.</w:t>
      </w:r>
    </w:p>
    <w:p w14:paraId="0F6254DC" w14:textId="77777777" w:rsidR="005245B3" w:rsidRDefault="00C3576F">
      <w:pPr>
        <w:pStyle w:val="a3"/>
        <w:ind w:right="225"/>
      </w:pPr>
      <w:r>
        <w:t>Симптомы, наблюдаемые при передозировке, аналогичны нежелательным реакциям, перечисленным в разделе 4.8, в том числе, в основном, запоры и другие известные желудочно-кишечные расстройства.</w:t>
      </w:r>
    </w:p>
    <w:p w14:paraId="4A5E4713" w14:textId="77777777" w:rsidR="005245B3" w:rsidRDefault="00C3576F">
      <w:pPr>
        <w:pStyle w:val="a3"/>
        <w:spacing w:line="274" w:lineRule="exact"/>
      </w:pPr>
      <w:r>
        <w:t>Должно</w:t>
      </w:r>
      <w:r>
        <w:rPr>
          <w:spacing w:val="-1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проведено</w:t>
      </w:r>
      <w:r>
        <w:rPr>
          <w:spacing w:val="-3"/>
        </w:rPr>
        <w:t xml:space="preserve"> </w:t>
      </w:r>
      <w:r>
        <w:t>соответствующее</w:t>
      </w:r>
      <w:r>
        <w:rPr>
          <w:spacing w:val="-3"/>
        </w:rPr>
        <w:t xml:space="preserve"> </w:t>
      </w:r>
      <w:r>
        <w:t>симптоматическое</w:t>
      </w:r>
      <w:r>
        <w:rPr>
          <w:spacing w:val="-8"/>
        </w:rPr>
        <w:t xml:space="preserve"> </w:t>
      </w:r>
      <w:r>
        <w:rPr>
          <w:spacing w:val="-2"/>
        </w:rPr>
        <w:t>лечение.</w:t>
      </w:r>
    </w:p>
    <w:p w14:paraId="1DD984DD" w14:textId="77777777" w:rsidR="005245B3" w:rsidRDefault="005245B3">
      <w:pPr>
        <w:pStyle w:val="a3"/>
        <w:spacing w:before="5"/>
        <w:ind w:left="0"/>
        <w:jc w:val="left"/>
      </w:pPr>
    </w:p>
    <w:p w14:paraId="3CCAC769" w14:textId="77777777" w:rsidR="005245B3" w:rsidRDefault="00C3576F">
      <w:pPr>
        <w:pStyle w:val="1"/>
        <w:numPr>
          <w:ilvl w:val="0"/>
          <w:numId w:val="3"/>
        </w:numPr>
        <w:tabs>
          <w:tab w:val="left" w:pos="461"/>
        </w:tabs>
        <w:spacing w:line="240" w:lineRule="auto"/>
        <w:ind w:left="460" w:hanging="242"/>
        <w:jc w:val="both"/>
      </w:pPr>
      <w:r>
        <w:t>ФАРМАКОЛОГИЧЕСКИЕ</w:t>
      </w:r>
      <w:r>
        <w:rPr>
          <w:spacing w:val="-4"/>
        </w:rPr>
        <w:t xml:space="preserve"> </w:t>
      </w:r>
      <w:r>
        <w:rPr>
          <w:spacing w:val="-2"/>
        </w:rPr>
        <w:t>СВОЙСТВА</w:t>
      </w:r>
    </w:p>
    <w:p w14:paraId="4A50D8AB" w14:textId="77777777" w:rsidR="005245B3" w:rsidRDefault="00C3576F">
      <w:pPr>
        <w:pStyle w:val="2"/>
        <w:spacing w:before="2" w:line="272" w:lineRule="exact"/>
      </w:pPr>
      <w:r>
        <w:t>5.1.</w:t>
      </w:r>
      <w:r>
        <w:rPr>
          <w:spacing w:val="-6"/>
        </w:rPr>
        <w:t xml:space="preserve"> </w:t>
      </w:r>
      <w:r>
        <w:t>Фармакодинамические</w:t>
      </w:r>
      <w:r>
        <w:rPr>
          <w:spacing w:val="1"/>
        </w:rPr>
        <w:t xml:space="preserve"> </w:t>
      </w:r>
      <w:r>
        <w:rPr>
          <w:spacing w:val="-2"/>
        </w:rPr>
        <w:t>свойства</w:t>
      </w:r>
    </w:p>
    <w:p w14:paraId="1A94E394" w14:textId="77777777" w:rsidR="005245B3" w:rsidRDefault="00C3576F">
      <w:pPr>
        <w:pStyle w:val="a3"/>
        <w:spacing w:line="242" w:lineRule="auto"/>
        <w:ind w:right="230"/>
      </w:pPr>
      <w:r>
        <w:t xml:space="preserve">Фармакотерапевтическая группа: Другие терапевтические препараты все. Препараты для лечения </w:t>
      </w:r>
      <w:proofErr w:type="spellStart"/>
      <w:r>
        <w:t>гиперкалиемии</w:t>
      </w:r>
      <w:proofErr w:type="spellEnd"/>
      <w:r>
        <w:t xml:space="preserve"> и </w:t>
      </w:r>
      <w:proofErr w:type="spellStart"/>
      <w:r>
        <w:t>гиперфосфатемии</w:t>
      </w:r>
      <w:proofErr w:type="spellEnd"/>
      <w:r>
        <w:t xml:space="preserve">. </w:t>
      </w:r>
      <w:proofErr w:type="spellStart"/>
      <w:r>
        <w:t>Севеламер</w:t>
      </w:r>
      <w:proofErr w:type="spellEnd"/>
    </w:p>
    <w:p w14:paraId="5CEB54DE" w14:textId="77777777" w:rsidR="005245B3" w:rsidRDefault="00C3576F">
      <w:pPr>
        <w:pStyle w:val="a3"/>
        <w:spacing w:line="271" w:lineRule="exact"/>
      </w:pPr>
      <w:r>
        <w:t>Код</w:t>
      </w:r>
      <w:r>
        <w:rPr>
          <w:spacing w:val="-2"/>
        </w:rPr>
        <w:t xml:space="preserve"> </w:t>
      </w:r>
      <w:r>
        <w:t>АТХ</w:t>
      </w:r>
      <w:r>
        <w:rPr>
          <w:spacing w:val="2"/>
        </w:rPr>
        <w:t xml:space="preserve"> </w:t>
      </w:r>
      <w:r>
        <w:rPr>
          <w:spacing w:val="-2"/>
        </w:rPr>
        <w:t>V03AE02</w:t>
      </w:r>
    </w:p>
    <w:p w14:paraId="4B23BA04" w14:textId="77777777" w:rsidR="005245B3" w:rsidRDefault="00C3576F">
      <w:pPr>
        <w:spacing w:line="275" w:lineRule="exact"/>
        <w:ind w:left="219"/>
        <w:jc w:val="both"/>
        <w:rPr>
          <w:i/>
          <w:sz w:val="24"/>
        </w:rPr>
      </w:pPr>
      <w:r>
        <w:rPr>
          <w:i/>
          <w:sz w:val="24"/>
        </w:rPr>
        <w:t>Механизм</w:t>
      </w:r>
      <w:r>
        <w:rPr>
          <w:i/>
          <w:spacing w:val="3"/>
          <w:sz w:val="24"/>
        </w:rPr>
        <w:t xml:space="preserve"> </w:t>
      </w:r>
      <w:r>
        <w:rPr>
          <w:i/>
          <w:spacing w:val="-2"/>
          <w:sz w:val="24"/>
        </w:rPr>
        <w:t>действия</w:t>
      </w:r>
    </w:p>
    <w:p w14:paraId="34A3FE7A" w14:textId="2A1E2974" w:rsidR="005245B3" w:rsidRDefault="00C3576F">
      <w:pPr>
        <w:pStyle w:val="a3"/>
        <w:ind w:right="224"/>
      </w:pPr>
      <w:r>
        <w:t xml:space="preserve">Действующим веществом препарата </w:t>
      </w:r>
      <w:proofErr w:type="spellStart"/>
      <w:r w:rsidR="00AB5FB6" w:rsidRPr="0047700E">
        <w:t>Севроже</w:t>
      </w:r>
      <w:proofErr w:type="spellEnd"/>
      <w:r w:rsidR="00AB5FB6">
        <w:t xml:space="preserve"> </w:t>
      </w:r>
      <w:r>
        <w:t xml:space="preserve">является </w:t>
      </w:r>
      <w:proofErr w:type="spellStart"/>
      <w:r>
        <w:t>севеламер</w:t>
      </w:r>
      <w:proofErr w:type="spellEnd"/>
      <w:r>
        <w:t xml:space="preserve"> – невсасывающийся фосфор-связывающий сшитый полимер, не содержащий металлов и кальция.</w:t>
      </w:r>
      <w:r>
        <w:rPr>
          <w:spacing w:val="80"/>
        </w:rPr>
        <w:t xml:space="preserve"> </w:t>
      </w:r>
      <w:proofErr w:type="spellStart"/>
      <w:r>
        <w:t>Севеламер</w:t>
      </w:r>
      <w:proofErr w:type="spellEnd"/>
      <w:r>
        <w:t xml:space="preserve"> состоит из множества аминогрупп, разделенных одним атомом углерода от полимерного каркаса, который </w:t>
      </w:r>
      <w:proofErr w:type="spellStart"/>
      <w:r>
        <w:t>протонируется</w:t>
      </w:r>
      <w:proofErr w:type="spellEnd"/>
      <w:r>
        <w:t xml:space="preserve"> в желудке. Эти </w:t>
      </w:r>
      <w:proofErr w:type="spellStart"/>
      <w:r>
        <w:t>протонированные</w:t>
      </w:r>
      <w:proofErr w:type="spellEnd"/>
      <w:r>
        <w:t xml:space="preserve"> аминогруппы связывают отрицательно заряженные ионы, такие как фосфаты, поступающие с пищей в кишечник.</w:t>
      </w:r>
    </w:p>
    <w:p w14:paraId="12664BB1" w14:textId="77777777" w:rsidR="005245B3" w:rsidRDefault="00C3576F">
      <w:pPr>
        <w:ind w:left="219"/>
        <w:jc w:val="both"/>
        <w:rPr>
          <w:i/>
          <w:sz w:val="24"/>
        </w:rPr>
      </w:pPr>
      <w:r>
        <w:rPr>
          <w:i/>
          <w:sz w:val="24"/>
        </w:rPr>
        <w:t>Фармакодинамические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эффекты</w:t>
      </w:r>
    </w:p>
    <w:p w14:paraId="79726FB5" w14:textId="77777777" w:rsidR="005245B3" w:rsidRDefault="00C3576F">
      <w:pPr>
        <w:pStyle w:val="a3"/>
        <w:spacing w:before="1"/>
        <w:ind w:right="234"/>
      </w:pPr>
      <w:r>
        <w:t xml:space="preserve">Связывая фосфаты в желудочно-кишечном тракте и уменьшая их всасывание, </w:t>
      </w:r>
      <w:proofErr w:type="spellStart"/>
      <w:r>
        <w:t>севеламер</w:t>
      </w:r>
      <w:proofErr w:type="spellEnd"/>
      <w:r>
        <w:t xml:space="preserve"> снижает концентрацию фосфора в сыворотке крови. При применении фосфат-связывающих препаратов необходимо проводить регулярный мониторинг уровня фосфора в сыворотке крови.</w:t>
      </w:r>
    </w:p>
    <w:p w14:paraId="36346B9D" w14:textId="77777777" w:rsidR="005245B3" w:rsidRDefault="00C3576F">
      <w:pPr>
        <w:spacing w:line="275" w:lineRule="exact"/>
        <w:ind w:left="219"/>
        <w:jc w:val="both"/>
        <w:rPr>
          <w:i/>
          <w:sz w:val="24"/>
        </w:rPr>
      </w:pPr>
      <w:r>
        <w:rPr>
          <w:i/>
          <w:sz w:val="24"/>
        </w:rPr>
        <w:t>Клиническая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эффективность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безопасность</w:t>
      </w:r>
    </w:p>
    <w:p w14:paraId="14113F6D" w14:textId="77777777" w:rsidR="005245B3" w:rsidRDefault="00C3576F">
      <w:pPr>
        <w:pStyle w:val="a3"/>
        <w:ind w:right="225"/>
      </w:pPr>
      <w:r>
        <w:t xml:space="preserve">В двух рандомизированных перекрестных клинических исследованиях </w:t>
      </w:r>
      <w:proofErr w:type="spellStart"/>
      <w:r>
        <w:t>севеламера</w:t>
      </w:r>
      <w:proofErr w:type="spellEnd"/>
      <w:r>
        <w:t xml:space="preserve"> карбонат применялся как в таблетках, так и в порошковой форме, при введении три</w:t>
      </w:r>
      <w:r>
        <w:rPr>
          <w:spacing w:val="40"/>
        </w:rPr>
        <w:t xml:space="preserve"> </w:t>
      </w:r>
      <w:r>
        <w:t xml:space="preserve">раза в день было показано, что он терапевтически эквивалентен </w:t>
      </w:r>
      <w:proofErr w:type="spellStart"/>
      <w:r>
        <w:t>севеламера</w:t>
      </w:r>
      <w:proofErr w:type="spellEnd"/>
      <w:r>
        <w:t xml:space="preserve"> гидрохлориду и поэтому эффективен при контроле сывороточного фосфора у больных ХБП, находящихся на гемодиализе.</w:t>
      </w:r>
    </w:p>
    <w:p w14:paraId="74BB06D2" w14:textId="77777777" w:rsidR="005245B3" w:rsidRDefault="00C3576F">
      <w:pPr>
        <w:pStyle w:val="a3"/>
        <w:spacing w:before="2"/>
        <w:ind w:right="224"/>
      </w:pPr>
      <w:r>
        <w:t>Первое</w:t>
      </w:r>
      <w:r>
        <w:rPr>
          <w:spacing w:val="-3"/>
        </w:rPr>
        <w:t xml:space="preserve"> </w:t>
      </w:r>
      <w:r>
        <w:t>исследование</w:t>
      </w:r>
      <w:r>
        <w:rPr>
          <w:spacing w:val="-3"/>
        </w:rPr>
        <w:t xml:space="preserve"> </w:t>
      </w:r>
      <w:r>
        <w:t>показало, что таблетки</w:t>
      </w:r>
      <w:r>
        <w:rPr>
          <w:spacing w:val="-2"/>
        </w:rPr>
        <w:t xml:space="preserve"> </w:t>
      </w:r>
      <w:proofErr w:type="spellStart"/>
      <w:r>
        <w:t>севеламера</w:t>
      </w:r>
      <w:proofErr w:type="spellEnd"/>
      <w:r>
        <w:t xml:space="preserve"> карбоната при</w:t>
      </w:r>
      <w:r>
        <w:rPr>
          <w:spacing w:val="-2"/>
        </w:rPr>
        <w:t xml:space="preserve"> </w:t>
      </w:r>
      <w:r>
        <w:t xml:space="preserve">приеме три раза в день, были эквивалентны таблеткам </w:t>
      </w:r>
      <w:proofErr w:type="spellStart"/>
      <w:r>
        <w:t>севеламера</w:t>
      </w:r>
      <w:proofErr w:type="spellEnd"/>
      <w:r>
        <w:t xml:space="preserve"> гидрохлорида при приеме три раза в день у 79 пациентов, находящихся на лечении гемодиализом в течение от двух до 8-и недель</w:t>
      </w:r>
      <w:r>
        <w:rPr>
          <w:spacing w:val="29"/>
        </w:rPr>
        <w:t xml:space="preserve"> </w:t>
      </w:r>
      <w:proofErr w:type="spellStart"/>
      <w:r>
        <w:t>рандомизированно</w:t>
      </w:r>
      <w:proofErr w:type="spellEnd"/>
      <w:r>
        <w:rPr>
          <w:spacing w:val="30"/>
        </w:rPr>
        <w:t xml:space="preserve"> </w:t>
      </w:r>
      <w:r>
        <w:t>(средние значения по времени взвешивания сывороточного</w:t>
      </w:r>
    </w:p>
    <w:p w14:paraId="46019868" w14:textId="77777777" w:rsidR="005245B3" w:rsidRDefault="005245B3">
      <w:pPr>
        <w:sectPr w:rsidR="005245B3">
          <w:type w:val="continuous"/>
          <w:pgSz w:w="11910" w:h="16840"/>
          <w:pgMar w:top="1100" w:right="900" w:bottom="280" w:left="1480" w:header="720" w:footer="720" w:gutter="0"/>
          <w:cols w:space="720"/>
        </w:sectPr>
      </w:pPr>
    </w:p>
    <w:p w14:paraId="464099D5" w14:textId="77777777" w:rsidR="005245B3" w:rsidRDefault="00C3576F">
      <w:pPr>
        <w:pStyle w:val="a3"/>
        <w:spacing w:before="66"/>
        <w:ind w:right="225"/>
      </w:pPr>
      <w:r>
        <w:lastRenderedPageBreak/>
        <w:t xml:space="preserve">фосфора составили 1,5 ± 0,3 </w:t>
      </w:r>
      <w:proofErr w:type="spellStart"/>
      <w:r>
        <w:t>ммоль</w:t>
      </w:r>
      <w:proofErr w:type="spellEnd"/>
      <w:r>
        <w:t xml:space="preserve">/л как для </w:t>
      </w:r>
      <w:proofErr w:type="spellStart"/>
      <w:r>
        <w:t>севеламера</w:t>
      </w:r>
      <w:proofErr w:type="spellEnd"/>
      <w:r>
        <w:t xml:space="preserve"> карбоната, так и для </w:t>
      </w:r>
      <w:proofErr w:type="spellStart"/>
      <w:r>
        <w:t>севеламера</w:t>
      </w:r>
      <w:proofErr w:type="spellEnd"/>
      <w:r>
        <w:t xml:space="preserve"> гидрохлорида). Второе исследование показало, что порошок </w:t>
      </w:r>
      <w:proofErr w:type="spellStart"/>
      <w:r>
        <w:t>севеламера</w:t>
      </w:r>
      <w:proofErr w:type="spellEnd"/>
      <w:r>
        <w:t xml:space="preserve"> карбоната при приеме три раза в день, был эквивалентен </w:t>
      </w:r>
      <w:proofErr w:type="spellStart"/>
      <w:r>
        <w:t>севеламера</w:t>
      </w:r>
      <w:proofErr w:type="spellEnd"/>
      <w:r>
        <w:t xml:space="preserve"> гидрохлориду, таблетки при приеме три раза</w:t>
      </w:r>
      <w:r>
        <w:rPr>
          <w:spacing w:val="-2"/>
        </w:rPr>
        <w:t xml:space="preserve"> </w:t>
      </w:r>
      <w:r>
        <w:t>в день у</w:t>
      </w:r>
      <w:r>
        <w:rPr>
          <w:spacing w:val="-5"/>
        </w:rPr>
        <w:t xml:space="preserve"> </w:t>
      </w:r>
      <w:r>
        <w:t xml:space="preserve">31 пациента в </w:t>
      </w:r>
      <w:proofErr w:type="spellStart"/>
      <w:r>
        <w:t>гиперфосфатемическом</w:t>
      </w:r>
      <w:proofErr w:type="spellEnd"/>
      <w:r>
        <w:t xml:space="preserve"> состоянии (определяется как сывороточные уровни фосфора ≥ 1,78 ммоль/л), находящихся на гемодиализе во время двух рандомизированных 4-недельных периодов лечения (средние значения сыворотки фосфора по времени взвешивания составили 1,6 ± 0,5 </w:t>
      </w:r>
      <w:proofErr w:type="spellStart"/>
      <w:r>
        <w:t>ммоль</w:t>
      </w:r>
      <w:proofErr w:type="spellEnd"/>
      <w:r>
        <w:t xml:space="preserve">/л для порошка </w:t>
      </w:r>
      <w:proofErr w:type="spellStart"/>
      <w:r>
        <w:t>севеламера</w:t>
      </w:r>
      <w:proofErr w:type="spellEnd"/>
      <w:r>
        <w:t xml:space="preserve"> карбоната и 1,7 ± 0,4 </w:t>
      </w:r>
      <w:proofErr w:type="spellStart"/>
      <w:r>
        <w:t>ммоль</w:t>
      </w:r>
      <w:proofErr w:type="spellEnd"/>
      <w:r>
        <w:t>/л для таблеток</w:t>
      </w:r>
      <w:r>
        <w:rPr>
          <w:spacing w:val="80"/>
        </w:rPr>
        <w:t xml:space="preserve"> </w:t>
      </w:r>
      <w:proofErr w:type="spellStart"/>
      <w:r>
        <w:t>севеламера</w:t>
      </w:r>
      <w:proofErr w:type="spellEnd"/>
      <w:r>
        <w:t xml:space="preserve"> гидрохлорида).</w:t>
      </w:r>
    </w:p>
    <w:p w14:paraId="375A683B" w14:textId="77777777" w:rsidR="005245B3" w:rsidRDefault="00C3576F">
      <w:pPr>
        <w:pStyle w:val="a3"/>
        <w:tabs>
          <w:tab w:val="left" w:pos="968"/>
          <w:tab w:val="left" w:pos="1183"/>
          <w:tab w:val="left" w:pos="1352"/>
          <w:tab w:val="left" w:pos="2662"/>
          <w:tab w:val="left" w:pos="2989"/>
          <w:tab w:val="left" w:pos="4475"/>
          <w:tab w:val="left" w:pos="4624"/>
          <w:tab w:val="left" w:pos="4955"/>
          <w:tab w:val="left" w:pos="5363"/>
          <w:tab w:val="left" w:pos="6121"/>
          <w:tab w:val="left" w:pos="6494"/>
          <w:tab w:val="left" w:pos="6940"/>
          <w:tab w:val="left" w:pos="7468"/>
          <w:tab w:val="left" w:pos="7974"/>
          <w:tab w:val="left" w:pos="9046"/>
        </w:tabs>
        <w:spacing w:before="4"/>
        <w:ind w:right="221"/>
        <w:jc w:val="left"/>
      </w:pPr>
      <w:r>
        <w:t>В</w:t>
      </w:r>
      <w:r>
        <w:rPr>
          <w:spacing w:val="32"/>
        </w:rPr>
        <w:t xml:space="preserve"> </w:t>
      </w:r>
      <w:r>
        <w:t>клинических испытаниях</w:t>
      </w:r>
      <w:r>
        <w:rPr>
          <w:spacing w:val="33"/>
        </w:rPr>
        <w:t xml:space="preserve"> </w:t>
      </w:r>
      <w:r>
        <w:t>у пациентов,</w:t>
      </w:r>
      <w:r>
        <w:rPr>
          <w:spacing w:val="35"/>
        </w:rPr>
        <w:t xml:space="preserve"> </w:t>
      </w:r>
      <w:r>
        <w:t>находящихся</w:t>
      </w:r>
      <w:r>
        <w:rPr>
          <w:spacing w:val="33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гемодиализе,</w:t>
      </w:r>
      <w:r>
        <w:rPr>
          <w:spacing w:val="40"/>
        </w:rPr>
        <w:t xml:space="preserve"> </w:t>
      </w:r>
      <w:r>
        <w:t>прием</w:t>
      </w:r>
      <w:r>
        <w:rPr>
          <w:spacing w:val="31"/>
        </w:rPr>
        <w:t xml:space="preserve"> </w:t>
      </w:r>
      <w:r>
        <w:t xml:space="preserve">только </w:t>
      </w:r>
      <w:proofErr w:type="spellStart"/>
      <w:r>
        <w:t>севеламера</w:t>
      </w:r>
      <w:proofErr w:type="spellEnd"/>
      <w:r>
        <w:t xml:space="preserve"> не имел последовательного и клинически значимого эффекта на интактный </w:t>
      </w:r>
      <w:r>
        <w:rPr>
          <w:spacing w:val="-4"/>
        </w:rPr>
        <w:t>ПТГ.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12-недельном</w:t>
      </w:r>
      <w:r>
        <w:tab/>
      </w:r>
      <w:r>
        <w:rPr>
          <w:spacing w:val="-2"/>
        </w:rPr>
        <w:t>исследовании</w:t>
      </w:r>
      <w:r>
        <w:tab/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участием</w:t>
      </w:r>
      <w:r>
        <w:tab/>
      </w:r>
      <w:r>
        <w:rPr>
          <w:spacing w:val="-2"/>
        </w:rPr>
        <w:t>пациентов,</w:t>
      </w:r>
      <w:r>
        <w:tab/>
      </w:r>
      <w:r>
        <w:rPr>
          <w:spacing w:val="-2"/>
        </w:rPr>
        <w:t>находящихся</w:t>
      </w:r>
      <w:r>
        <w:tab/>
      </w:r>
      <w:r>
        <w:rPr>
          <w:spacing w:val="-6"/>
        </w:rPr>
        <w:t xml:space="preserve">на </w:t>
      </w:r>
      <w:proofErr w:type="spellStart"/>
      <w:r>
        <w:t>перитонеальном</w:t>
      </w:r>
      <w:proofErr w:type="spellEnd"/>
      <w:r>
        <w:rPr>
          <w:spacing w:val="40"/>
        </w:rPr>
        <w:t xml:space="preserve"> </w:t>
      </w:r>
      <w:r>
        <w:t>диализе,</w:t>
      </w:r>
      <w:r>
        <w:rPr>
          <w:spacing w:val="80"/>
        </w:rPr>
        <w:t xml:space="preserve"> </w:t>
      </w:r>
      <w:r>
        <w:t>наблюдалось</w:t>
      </w:r>
      <w:r>
        <w:rPr>
          <w:spacing w:val="40"/>
        </w:rPr>
        <w:t xml:space="preserve"> </w:t>
      </w:r>
      <w:r>
        <w:t>аналогичное</w:t>
      </w:r>
      <w:r>
        <w:rPr>
          <w:spacing w:val="40"/>
        </w:rPr>
        <w:t xml:space="preserve"> </w:t>
      </w:r>
      <w:r>
        <w:t>снижение</w:t>
      </w:r>
      <w:r>
        <w:rPr>
          <w:spacing w:val="40"/>
        </w:rPr>
        <w:t xml:space="preserve"> </w:t>
      </w:r>
      <w:r>
        <w:t>интактного</w:t>
      </w:r>
      <w:r>
        <w:rPr>
          <w:spacing w:val="80"/>
        </w:rPr>
        <w:t xml:space="preserve"> </w:t>
      </w:r>
      <w:r>
        <w:t>ПТГ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сравнению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пациентами,</w:t>
      </w:r>
      <w:r>
        <w:rPr>
          <w:spacing w:val="40"/>
        </w:rPr>
        <w:t xml:space="preserve"> </w:t>
      </w:r>
      <w:r>
        <w:t>получавшими</w:t>
      </w:r>
      <w:r>
        <w:rPr>
          <w:spacing w:val="40"/>
        </w:rPr>
        <w:t xml:space="preserve"> </w:t>
      </w:r>
      <w:r>
        <w:t>ацетат</w:t>
      </w:r>
      <w:r>
        <w:rPr>
          <w:spacing w:val="40"/>
        </w:rPr>
        <w:t xml:space="preserve"> </w:t>
      </w:r>
      <w:r>
        <w:t>кальция.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пациентов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вторичным </w:t>
      </w:r>
      <w:proofErr w:type="spellStart"/>
      <w:r>
        <w:t>гиперпаратиреозом</w:t>
      </w:r>
      <w:proofErr w:type="spellEnd"/>
      <w:r>
        <w:t xml:space="preserve"> </w:t>
      </w:r>
      <w:proofErr w:type="spellStart"/>
      <w:r>
        <w:t>севеламера</w:t>
      </w:r>
      <w:proofErr w:type="spellEnd"/>
      <w:r>
        <w:t xml:space="preserve"> карбонат следует применять в контексте многократного терапевтического лечения, которое может включать кальций в качестве добавки, 1,25- </w:t>
      </w:r>
      <w:proofErr w:type="spellStart"/>
      <w:r>
        <w:t>дигидрокси</w:t>
      </w:r>
      <w:proofErr w:type="spellEnd"/>
      <w:r>
        <w:t xml:space="preserve"> витамин D3 или один из его аналогов снижает уровни интактного ПТГ. Было</w:t>
      </w:r>
      <w:r>
        <w:rPr>
          <w:spacing w:val="80"/>
        </w:rPr>
        <w:t xml:space="preserve"> </w:t>
      </w:r>
      <w:r>
        <w:t>отмечено,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proofErr w:type="spellStart"/>
      <w:r>
        <w:t>севеламер</w:t>
      </w:r>
      <w:proofErr w:type="spellEnd"/>
      <w:r>
        <w:rPr>
          <w:spacing w:val="80"/>
        </w:rPr>
        <w:t xml:space="preserve"> </w:t>
      </w:r>
      <w:r>
        <w:t>связывает</w:t>
      </w:r>
      <w:r>
        <w:rPr>
          <w:spacing w:val="80"/>
        </w:rPr>
        <w:t xml:space="preserve"> </w:t>
      </w:r>
      <w:r>
        <w:t>желчные</w:t>
      </w:r>
      <w:r>
        <w:rPr>
          <w:spacing w:val="80"/>
        </w:rPr>
        <w:t xml:space="preserve"> </w:t>
      </w:r>
      <w:r>
        <w:t>кислоты</w:t>
      </w:r>
      <w:r>
        <w:rPr>
          <w:spacing w:val="80"/>
        </w:rPr>
        <w:t xml:space="preserve"> </w:t>
      </w:r>
      <w:proofErr w:type="spellStart"/>
      <w:r>
        <w:rPr>
          <w:i/>
        </w:rPr>
        <w:t>in</w:t>
      </w:r>
      <w:proofErr w:type="spellEnd"/>
      <w:r>
        <w:rPr>
          <w:i/>
          <w:spacing w:val="80"/>
        </w:rPr>
        <w:t xml:space="preserve"> </w:t>
      </w:r>
      <w:proofErr w:type="spellStart"/>
      <w:r>
        <w:rPr>
          <w:i/>
        </w:rPr>
        <w:t>vitro</w:t>
      </w:r>
      <w:proofErr w:type="spellEnd"/>
      <w:r>
        <w:rPr>
          <w:i/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rPr>
          <w:i/>
        </w:rPr>
        <w:t>in</w:t>
      </w:r>
      <w:proofErr w:type="spellEnd"/>
      <w:r>
        <w:rPr>
          <w:i/>
          <w:spacing w:val="80"/>
        </w:rPr>
        <w:t xml:space="preserve"> </w:t>
      </w:r>
      <w:proofErr w:type="spellStart"/>
      <w:r>
        <w:rPr>
          <w:i/>
        </w:rPr>
        <w:t>vivo</w:t>
      </w:r>
      <w:proofErr w:type="spellEnd"/>
      <w:r>
        <w:rPr>
          <w:i/>
          <w:spacing w:val="80"/>
        </w:rPr>
        <w:t xml:space="preserve"> </w:t>
      </w:r>
      <w:r>
        <w:t>на экспериментальных</w:t>
      </w:r>
      <w:r>
        <w:rPr>
          <w:spacing w:val="40"/>
        </w:rPr>
        <w:t xml:space="preserve"> </w:t>
      </w:r>
      <w:r>
        <w:t>моделях</w:t>
      </w:r>
      <w:r>
        <w:rPr>
          <w:spacing w:val="40"/>
        </w:rPr>
        <w:t xml:space="preserve"> </w:t>
      </w:r>
      <w:r>
        <w:t>животных.</w:t>
      </w:r>
      <w:r>
        <w:rPr>
          <w:spacing w:val="40"/>
        </w:rPr>
        <w:t xml:space="preserve"> </w:t>
      </w:r>
      <w:r>
        <w:t>Связывание</w:t>
      </w:r>
      <w:r>
        <w:rPr>
          <w:spacing w:val="40"/>
        </w:rPr>
        <w:t xml:space="preserve"> </w:t>
      </w:r>
      <w:r>
        <w:t>желчной</w:t>
      </w:r>
      <w:r>
        <w:rPr>
          <w:spacing w:val="40"/>
        </w:rPr>
        <w:t xml:space="preserve"> </w:t>
      </w:r>
      <w:r>
        <w:t>кислоты</w:t>
      </w:r>
      <w:r>
        <w:rPr>
          <w:spacing w:val="40"/>
        </w:rPr>
        <w:t xml:space="preserve"> </w:t>
      </w:r>
      <w:r>
        <w:t>посредством ионообменных</w:t>
      </w:r>
      <w:r>
        <w:rPr>
          <w:spacing w:val="40"/>
        </w:rPr>
        <w:t xml:space="preserve"> </w:t>
      </w:r>
      <w:r>
        <w:t>смол,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хорошо</w:t>
      </w:r>
      <w:r>
        <w:rPr>
          <w:spacing w:val="40"/>
        </w:rPr>
        <w:t xml:space="preserve"> </w:t>
      </w:r>
      <w:r>
        <w:t>зарекомендовавшим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методом</w:t>
      </w:r>
      <w:r>
        <w:rPr>
          <w:spacing w:val="40"/>
        </w:rPr>
        <w:t xml:space="preserve"> </w:t>
      </w:r>
      <w:r>
        <w:t>снижения уровня холестерина в крови. В клинических испытаниях у</w:t>
      </w:r>
      <w:r>
        <w:rPr>
          <w:spacing w:val="-1"/>
        </w:rPr>
        <w:t xml:space="preserve"> </w:t>
      </w:r>
      <w:proofErr w:type="spellStart"/>
      <w:r>
        <w:t>севеламера</w:t>
      </w:r>
      <w:proofErr w:type="spellEnd"/>
      <w:r>
        <w:t xml:space="preserve"> средний уровень </w:t>
      </w:r>
      <w:r>
        <w:rPr>
          <w:spacing w:val="-2"/>
        </w:rPr>
        <w:t>общего</w:t>
      </w:r>
      <w:r>
        <w:tab/>
      </w:r>
      <w:r>
        <w:tab/>
      </w:r>
      <w:r>
        <w:rPr>
          <w:spacing w:val="-2"/>
        </w:rPr>
        <w:t>холестерина</w:t>
      </w:r>
      <w:r>
        <w:tab/>
      </w:r>
      <w:r>
        <w:rPr>
          <w:spacing w:val="-10"/>
        </w:rPr>
        <w:t>и</w:t>
      </w:r>
      <w:r>
        <w:tab/>
      </w:r>
      <w:r>
        <w:rPr>
          <w:spacing w:val="-51"/>
        </w:rPr>
        <w:t xml:space="preserve"> </w:t>
      </w:r>
      <w:r>
        <w:rPr>
          <w:spacing w:val="-2"/>
        </w:rPr>
        <w:t>холестерина</w:t>
      </w:r>
      <w:r>
        <w:tab/>
      </w:r>
      <w:r>
        <w:rPr>
          <w:spacing w:val="-4"/>
        </w:rPr>
        <w:t>ЛПНП</w:t>
      </w:r>
      <w:r>
        <w:tab/>
      </w:r>
      <w:r>
        <w:rPr>
          <w:spacing w:val="-2"/>
        </w:rPr>
        <w:t>снизился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15-39%.</w:t>
      </w:r>
      <w:r>
        <w:tab/>
      </w:r>
      <w:r>
        <w:rPr>
          <w:spacing w:val="-2"/>
        </w:rPr>
        <w:t xml:space="preserve">Уменьшение </w:t>
      </w:r>
      <w:r>
        <w:t>холестерина</w:t>
      </w:r>
      <w:r>
        <w:rPr>
          <w:spacing w:val="80"/>
        </w:rPr>
        <w:t xml:space="preserve"> </w:t>
      </w:r>
      <w:r>
        <w:t>наблюдается</w:t>
      </w:r>
      <w:r>
        <w:rPr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2</w:t>
      </w:r>
      <w:r>
        <w:rPr>
          <w:spacing w:val="79"/>
        </w:rPr>
        <w:t xml:space="preserve"> </w:t>
      </w:r>
      <w:r>
        <w:t>недель</w:t>
      </w:r>
      <w:r>
        <w:rPr>
          <w:spacing w:val="80"/>
        </w:rPr>
        <w:t xml:space="preserve"> </w:t>
      </w:r>
      <w:r>
        <w:t>лечения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сохраняется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 xml:space="preserve">длительном </w:t>
      </w:r>
      <w:r>
        <w:rPr>
          <w:spacing w:val="-2"/>
        </w:rPr>
        <w:t>лечении.</w:t>
      </w:r>
    </w:p>
    <w:p w14:paraId="225D6FD5" w14:textId="77777777" w:rsidR="005245B3" w:rsidRDefault="00C3576F">
      <w:pPr>
        <w:pStyle w:val="a3"/>
        <w:spacing w:line="242" w:lineRule="auto"/>
        <w:ind w:right="192"/>
        <w:jc w:val="left"/>
      </w:pPr>
      <w:r>
        <w:t>Уровень триглицеридов,</w:t>
      </w:r>
      <w:r>
        <w:rPr>
          <w:spacing w:val="28"/>
        </w:rPr>
        <w:t xml:space="preserve"> </w:t>
      </w:r>
      <w:r>
        <w:t>холестерина ЛПВП</w:t>
      </w:r>
      <w:r>
        <w:rPr>
          <w:spacing w:val="30"/>
        </w:rPr>
        <w:t xml:space="preserve"> </w:t>
      </w:r>
      <w:r>
        <w:t>и альбумина</w:t>
      </w:r>
      <w:r>
        <w:rPr>
          <w:spacing w:val="29"/>
        </w:rPr>
        <w:t xml:space="preserve"> </w:t>
      </w:r>
      <w:r>
        <w:t xml:space="preserve">после лечения </w:t>
      </w:r>
      <w:proofErr w:type="spellStart"/>
      <w:r>
        <w:t>севеламером</w:t>
      </w:r>
      <w:proofErr w:type="spellEnd"/>
      <w:r>
        <w:t xml:space="preserve"> не изменился.</w:t>
      </w:r>
    </w:p>
    <w:p w14:paraId="75981465" w14:textId="77777777" w:rsidR="005245B3" w:rsidRDefault="00C3576F">
      <w:pPr>
        <w:pStyle w:val="a3"/>
        <w:tabs>
          <w:tab w:val="left" w:pos="1547"/>
          <w:tab w:val="left" w:pos="2817"/>
          <w:tab w:val="left" w:pos="4068"/>
          <w:tab w:val="left" w:pos="5205"/>
          <w:tab w:val="left" w:pos="6351"/>
          <w:tab w:val="left" w:pos="6831"/>
          <w:tab w:val="left" w:pos="7713"/>
        </w:tabs>
        <w:spacing w:line="242" w:lineRule="auto"/>
        <w:ind w:right="231"/>
        <w:jc w:val="left"/>
      </w:pPr>
      <w:r>
        <w:rPr>
          <w:spacing w:val="-2"/>
        </w:rPr>
        <w:t>Поскольку</w:t>
      </w:r>
      <w:r>
        <w:tab/>
      </w:r>
      <w:proofErr w:type="spellStart"/>
      <w:r>
        <w:rPr>
          <w:spacing w:val="-2"/>
        </w:rPr>
        <w:t>севеламер</w:t>
      </w:r>
      <w:proofErr w:type="spellEnd"/>
      <w:r>
        <w:tab/>
      </w:r>
      <w:r>
        <w:rPr>
          <w:spacing w:val="-2"/>
        </w:rPr>
        <w:t>связывает</w:t>
      </w:r>
      <w:r>
        <w:tab/>
      </w:r>
      <w:r>
        <w:rPr>
          <w:spacing w:val="-2"/>
        </w:rPr>
        <w:t>желчные</w:t>
      </w:r>
      <w:r>
        <w:tab/>
      </w:r>
      <w:r>
        <w:rPr>
          <w:spacing w:val="-2"/>
        </w:rPr>
        <w:t>кислоты,</w:t>
      </w:r>
      <w:r>
        <w:tab/>
      </w:r>
      <w:r>
        <w:rPr>
          <w:spacing w:val="-6"/>
        </w:rPr>
        <w:t>он</w:t>
      </w:r>
      <w:r>
        <w:tab/>
      </w:r>
      <w:r>
        <w:rPr>
          <w:spacing w:val="-2"/>
        </w:rPr>
        <w:t>может</w:t>
      </w:r>
      <w:r>
        <w:tab/>
      </w:r>
      <w:r>
        <w:rPr>
          <w:spacing w:val="-2"/>
        </w:rPr>
        <w:t xml:space="preserve">препятствовать </w:t>
      </w:r>
      <w:r>
        <w:t>всасыванию жирорастворимых витаминов, таких как A, D, Е и K.</w:t>
      </w:r>
    </w:p>
    <w:p w14:paraId="6653549C" w14:textId="77777777" w:rsidR="005245B3" w:rsidRDefault="00C3576F">
      <w:pPr>
        <w:pStyle w:val="a3"/>
        <w:ind w:right="229"/>
      </w:pPr>
      <w:proofErr w:type="spellStart"/>
      <w:r>
        <w:t>Севеламер</w:t>
      </w:r>
      <w:proofErr w:type="spellEnd"/>
      <w:r>
        <w:t xml:space="preserve"> не содержит кальций и снижает частоту проявлений гиперкальциемии по сравнению с пациентами, принимающими только фосфат-связывающие вещества на основе кальция. Влияние </w:t>
      </w:r>
      <w:proofErr w:type="spellStart"/>
      <w:r>
        <w:t>севеламера</w:t>
      </w:r>
      <w:proofErr w:type="spellEnd"/>
      <w:r>
        <w:t xml:space="preserve"> на фосфор и кальций - было доказано, что они сохраняются на протяжении всего исследования с последующим наблюдением в течение одного года. Эта информация была получена из исследований, в которых использовался </w:t>
      </w:r>
      <w:proofErr w:type="spellStart"/>
      <w:r>
        <w:t>севеламера</w:t>
      </w:r>
      <w:proofErr w:type="spellEnd"/>
      <w:r>
        <w:t xml:space="preserve"> гидрохлорид.</w:t>
      </w:r>
    </w:p>
    <w:p w14:paraId="25E1D07F" w14:textId="77777777" w:rsidR="005245B3" w:rsidRDefault="00C3576F">
      <w:pPr>
        <w:ind w:left="219"/>
        <w:rPr>
          <w:i/>
          <w:sz w:val="24"/>
        </w:rPr>
      </w:pPr>
      <w:r>
        <w:rPr>
          <w:i/>
          <w:spacing w:val="-4"/>
          <w:sz w:val="24"/>
        </w:rPr>
        <w:t>Дети</w:t>
      </w:r>
    </w:p>
    <w:p w14:paraId="63085A39" w14:textId="77777777" w:rsidR="005245B3" w:rsidRDefault="00C3576F">
      <w:pPr>
        <w:pStyle w:val="a3"/>
        <w:ind w:right="223"/>
      </w:pPr>
      <w:r>
        <w:t xml:space="preserve">Безопасность и эффективность </w:t>
      </w:r>
      <w:proofErr w:type="spellStart"/>
      <w:r>
        <w:t>севеламера</w:t>
      </w:r>
      <w:proofErr w:type="spellEnd"/>
      <w:r>
        <w:t xml:space="preserve"> карбоната у </w:t>
      </w:r>
      <w:proofErr w:type="spellStart"/>
      <w:r>
        <w:t>гиперфосфатемических</w:t>
      </w:r>
      <w:proofErr w:type="spellEnd"/>
      <w:r>
        <w:t xml:space="preserve"> педиатрических пациентов с ХБП была оценена следующим образом: оценка проводилась в многоцентровом исследовании с 2-недельным рандомизированным плацебо-контролируемым периодом фиксированной дозы (FDP), затем следует 6- месячный, не сравнительный, открытый период титрования дозы (ДТП). В общей сложности 101 пациент (от 6 до 18 лет с диапазоном БСА от 0,8 м</w:t>
      </w:r>
      <w:r>
        <w:rPr>
          <w:vertAlign w:val="superscript"/>
        </w:rPr>
        <w:t>2</w:t>
      </w:r>
      <w:r>
        <w:t xml:space="preserve"> до 2,4 м</w:t>
      </w:r>
      <w:r>
        <w:rPr>
          <w:vertAlign w:val="superscript"/>
        </w:rPr>
        <w:t>2</w:t>
      </w:r>
      <w:r>
        <w:t xml:space="preserve">) были случайно отобраны. Сорок девять (49) пациентов получили </w:t>
      </w:r>
      <w:proofErr w:type="spellStart"/>
      <w:r>
        <w:t>севеламера</w:t>
      </w:r>
      <w:proofErr w:type="spellEnd"/>
      <w:r>
        <w:t xml:space="preserve"> карбонат и 51 получил плацебо в течение 2-недельного ФДП. После этого все пациенты получили </w:t>
      </w:r>
      <w:proofErr w:type="spellStart"/>
      <w:r>
        <w:t>севеламера</w:t>
      </w:r>
      <w:proofErr w:type="spellEnd"/>
      <w:r>
        <w:t xml:space="preserve"> карбонат для 26-недельного ДТП. Исследование достигло своей первичной конечной точки, то есть </w:t>
      </w:r>
      <w:proofErr w:type="spellStart"/>
      <w:r>
        <w:t>севеламера</w:t>
      </w:r>
      <w:proofErr w:type="spellEnd"/>
      <w:r>
        <w:t xml:space="preserve"> карбонат снижал содержание сывороточного фосфора в среднем на 0,90 мг/</w:t>
      </w:r>
      <w:proofErr w:type="spellStart"/>
      <w:r>
        <w:t>дл</w:t>
      </w:r>
      <w:proofErr w:type="spellEnd"/>
      <w:r>
        <w:t xml:space="preserve"> по сравнению с плацебо, такая же ситуация наблюдалась на вторичных конечных точках эффективности. У педиатрических пациентов с </w:t>
      </w:r>
      <w:proofErr w:type="spellStart"/>
      <w:r>
        <w:t>гиперфосфатемией</w:t>
      </w:r>
      <w:proofErr w:type="spellEnd"/>
      <w:r>
        <w:t xml:space="preserve">, вторичной по отношению к ХБП, </w:t>
      </w:r>
      <w:proofErr w:type="spellStart"/>
      <w:r>
        <w:t>севеламера</w:t>
      </w:r>
      <w:proofErr w:type="spellEnd"/>
      <w:r>
        <w:t xml:space="preserve"> карбонат значительно снижал уровень фосфора в сыворотке крови по сравнению с плацебо во время 2-недельного ФДП. Ответ на лечение сохранялся у педиатрических пациентов, получавших </w:t>
      </w:r>
      <w:proofErr w:type="spellStart"/>
      <w:r>
        <w:t>севеламера</w:t>
      </w:r>
      <w:proofErr w:type="spellEnd"/>
      <w:r>
        <w:t xml:space="preserve"> карбонат в течение 6-и месячного открытого КДС. 27% </w:t>
      </w:r>
      <w:proofErr w:type="gramStart"/>
      <w:r>
        <w:t>педиатрических</w:t>
      </w:r>
      <w:r>
        <w:rPr>
          <w:spacing w:val="70"/>
        </w:rPr>
        <w:t xml:space="preserve">  </w:t>
      </w:r>
      <w:r>
        <w:t>пациентов</w:t>
      </w:r>
      <w:proofErr w:type="gramEnd"/>
      <w:r>
        <w:rPr>
          <w:spacing w:val="72"/>
        </w:rPr>
        <w:t xml:space="preserve">  </w:t>
      </w:r>
      <w:r>
        <w:t>достигли</w:t>
      </w:r>
      <w:r>
        <w:rPr>
          <w:spacing w:val="71"/>
        </w:rPr>
        <w:t xml:space="preserve">  </w:t>
      </w:r>
      <w:r>
        <w:t>соответствующего</w:t>
      </w:r>
      <w:r>
        <w:rPr>
          <w:spacing w:val="76"/>
        </w:rPr>
        <w:t xml:space="preserve">  </w:t>
      </w:r>
      <w:r>
        <w:t>их</w:t>
      </w:r>
      <w:r>
        <w:rPr>
          <w:spacing w:val="68"/>
        </w:rPr>
        <w:t xml:space="preserve">  </w:t>
      </w:r>
      <w:r>
        <w:t>возрасту</w:t>
      </w:r>
      <w:r>
        <w:rPr>
          <w:spacing w:val="71"/>
        </w:rPr>
        <w:t xml:space="preserve">  </w:t>
      </w:r>
      <w:r>
        <w:rPr>
          <w:spacing w:val="-2"/>
        </w:rPr>
        <w:t>уровня</w:t>
      </w:r>
    </w:p>
    <w:p w14:paraId="527A1E7D" w14:textId="77777777" w:rsidR="005245B3" w:rsidRDefault="005245B3">
      <w:pPr>
        <w:sectPr w:rsidR="005245B3">
          <w:pgSz w:w="11910" w:h="16840"/>
          <w:pgMar w:top="1040" w:right="900" w:bottom="280" w:left="1480" w:header="720" w:footer="720" w:gutter="0"/>
          <w:cols w:space="720"/>
        </w:sectPr>
      </w:pPr>
    </w:p>
    <w:p w14:paraId="31F07CD3" w14:textId="77777777" w:rsidR="005245B3" w:rsidRDefault="00C3576F">
      <w:pPr>
        <w:pStyle w:val="a3"/>
        <w:spacing w:before="66"/>
        <w:ind w:right="228"/>
      </w:pPr>
      <w:r>
        <w:lastRenderedPageBreak/>
        <w:t xml:space="preserve">сывороточного фосфора в конце лечения. Эти показатели составили 23% и 15% в подгруппе пациентов, находящихся на гемодиализе и </w:t>
      </w:r>
      <w:proofErr w:type="spellStart"/>
      <w:r>
        <w:t>перитонеальном</w:t>
      </w:r>
      <w:proofErr w:type="spellEnd"/>
      <w:r>
        <w:t xml:space="preserve"> диализе, соответственно. Ответ на лечение в течение 2-недельного FDP не был затронут BSA, однако, в качестве контраста, никакой ответ на лечение не наблюдался у педиатрических пациентов с установленным уровнем фосфора </w:t>
      </w:r>
      <w:proofErr w:type="gramStart"/>
      <w:r>
        <w:t>&lt; 7</w:t>
      </w:r>
      <w:proofErr w:type="gramEnd"/>
      <w:r>
        <w:t xml:space="preserve">,0 мг/дл. Большинство нежелательных явлений, о которых сообщалось как об относящихся или возможно относящихся к </w:t>
      </w:r>
      <w:proofErr w:type="spellStart"/>
      <w:r>
        <w:t>севеламеру</w:t>
      </w:r>
      <w:proofErr w:type="spellEnd"/>
      <w:r>
        <w:rPr>
          <w:spacing w:val="-3"/>
        </w:rPr>
        <w:t xml:space="preserve"> </w:t>
      </w:r>
      <w:r>
        <w:t xml:space="preserve">карбонату, были желудочно-кишечными по своей природе. При применении </w:t>
      </w:r>
      <w:proofErr w:type="spellStart"/>
      <w:r>
        <w:t>севеламера</w:t>
      </w:r>
      <w:proofErr w:type="spellEnd"/>
      <w:r>
        <w:t xml:space="preserve"> карбоната не было выявлено никаких новых рисков или сигналов безопасности во время исследования.</w:t>
      </w:r>
    </w:p>
    <w:p w14:paraId="71F17534" w14:textId="77777777" w:rsidR="005245B3" w:rsidRDefault="005245B3">
      <w:pPr>
        <w:pStyle w:val="a3"/>
        <w:spacing w:before="6"/>
        <w:ind w:left="0"/>
        <w:jc w:val="left"/>
      </w:pPr>
    </w:p>
    <w:p w14:paraId="572A41D4" w14:textId="77777777" w:rsidR="005245B3" w:rsidRDefault="00C3576F">
      <w:pPr>
        <w:pStyle w:val="2"/>
      </w:pPr>
      <w:r>
        <w:t>5.2</w:t>
      </w:r>
      <w:r>
        <w:rPr>
          <w:spacing w:val="-5"/>
        </w:rPr>
        <w:t xml:space="preserve"> </w:t>
      </w:r>
      <w:r>
        <w:t>Фармакокинетические</w:t>
      </w:r>
      <w:r>
        <w:rPr>
          <w:spacing w:val="-5"/>
        </w:rPr>
        <w:t xml:space="preserve"> </w:t>
      </w:r>
      <w:r>
        <w:rPr>
          <w:spacing w:val="-2"/>
        </w:rPr>
        <w:t>свойства</w:t>
      </w:r>
    </w:p>
    <w:p w14:paraId="0B2C3843" w14:textId="77777777" w:rsidR="005245B3" w:rsidRDefault="00C3576F">
      <w:pPr>
        <w:pStyle w:val="a3"/>
        <w:ind w:right="225"/>
      </w:pPr>
      <w:r>
        <w:t xml:space="preserve">Исследований по изучению </w:t>
      </w:r>
      <w:proofErr w:type="spellStart"/>
      <w:r>
        <w:t>фармакокинетики</w:t>
      </w:r>
      <w:proofErr w:type="spellEnd"/>
      <w:r>
        <w:t xml:space="preserve"> </w:t>
      </w:r>
      <w:proofErr w:type="spellStart"/>
      <w:r>
        <w:t>севеламера</w:t>
      </w:r>
      <w:proofErr w:type="spellEnd"/>
      <w:r>
        <w:t xml:space="preserve"> карбоната не проводилось. </w:t>
      </w:r>
      <w:proofErr w:type="spellStart"/>
      <w:r>
        <w:t>Севеламера</w:t>
      </w:r>
      <w:proofErr w:type="spellEnd"/>
      <w:r>
        <w:t xml:space="preserve"> гидрохлорид, содержащий такой же активный ингредиент, как и</w:t>
      </w:r>
      <w:r>
        <w:rPr>
          <w:spacing w:val="40"/>
        </w:rPr>
        <w:t xml:space="preserve"> </w:t>
      </w:r>
      <w:proofErr w:type="spellStart"/>
      <w:r>
        <w:t>севеламера</w:t>
      </w:r>
      <w:proofErr w:type="spellEnd"/>
      <w:r>
        <w:t xml:space="preserve"> карбонат, не всасывается в желудочно-кишечном тракте, что было подтверждено в исследовании его всасываемости, проводимом на добровольцах.</w:t>
      </w:r>
    </w:p>
    <w:p w14:paraId="3A771870" w14:textId="77777777" w:rsidR="005245B3" w:rsidRDefault="00C3576F">
      <w:pPr>
        <w:pStyle w:val="a3"/>
        <w:ind w:right="231"/>
      </w:pPr>
      <w:r>
        <w:t>В течение годового клинического исследования не было обнаружено никаких</w:t>
      </w:r>
      <w:r>
        <w:rPr>
          <w:spacing w:val="40"/>
        </w:rPr>
        <w:t xml:space="preserve"> </w:t>
      </w:r>
      <w:r>
        <w:t xml:space="preserve">признаков накопления </w:t>
      </w:r>
      <w:proofErr w:type="spellStart"/>
      <w:r>
        <w:t>севеламера</w:t>
      </w:r>
      <w:proofErr w:type="spellEnd"/>
      <w:r>
        <w:t xml:space="preserve">. Однако, потенциальная абсорбция и накопление </w:t>
      </w:r>
      <w:proofErr w:type="spellStart"/>
      <w:r>
        <w:t>севеламера</w:t>
      </w:r>
      <w:proofErr w:type="spellEnd"/>
      <w:r>
        <w:t xml:space="preserve"> во время длительного хронического лечения (&gt; одного года) не может быть полностью исключено.</w:t>
      </w:r>
    </w:p>
    <w:p w14:paraId="05F16013" w14:textId="77777777" w:rsidR="005245B3" w:rsidRDefault="005245B3">
      <w:pPr>
        <w:pStyle w:val="a3"/>
        <w:spacing w:before="2"/>
        <w:ind w:left="0"/>
        <w:jc w:val="left"/>
      </w:pPr>
    </w:p>
    <w:p w14:paraId="17FF7526" w14:textId="77777777" w:rsidR="005245B3" w:rsidRDefault="00C3576F">
      <w:pPr>
        <w:pStyle w:val="2"/>
      </w:pPr>
      <w:r>
        <w:t>5.3.</w:t>
      </w:r>
      <w:r>
        <w:rPr>
          <w:spacing w:val="-2"/>
        </w:rPr>
        <w:t xml:space="preserve"> </w:t>
      </w:r>
      <w:r>
        <w:t>Данные</w:t>
      </w:r>
      <w:r>
        <w:rPr>
          <w:spacing w:val="-1"/>
        </w:rPr>
        <w:t xml:space="preserve"> </w:t>
      </w:r>
      <w:r>
        <w:t>доклинической</w:t>
      </w:r>
      <w:r>
        <w:rPr>
          <w:spacing w:val="-3"/>
        </w:rPr>
        <w:t xml:space="preserve"> </w:t>
      </w:r>
      <w:r>
        <w:rPr>
          <w:spacing w:val="-2"/>
        </w:rPr>
        <w:t>безопасности</w:t>
      </w:r>
    </w:p>
    <w:p w14:paraId="3E3DE7C8" w14:textId="77777777" w:rsidR="005245B3" w:rsidRDefault="00C3576F">
      <w:pPr>
        <w:pStyle w:val="a3"/>
        <w:ind w:right="228"/>
      </w:pPr>
      <w:r>
        <w:t xml:space="preserve">Доклинических данных для </w:t>
      </w:r>
      <w:proofErr w:type="spellStart"/>
      <w:r>
        <w:t>севеламера</w:t>
      </w:r>
      <w:proofErr w:type="spellEnd"/>
      <w:r>
        <w:t xml:space="preserve"> не было выявлено в отношении особой опасности для человека, основанных на результатах стандартных исследований фармакологической безопасности, токсичности при многократном введении или </w:t>
      </w:r>
      <w:proofErr w:type="spellStart"/>
      <w:r>
        <w:rPr>
          <w:spacing w:val="-2"/>
        </w:rPr>
        <w:t>генотоксичности</w:t>
      </w:r>
      <w:proofErr w:type="spellEnd"/>
      <w:r>
        <w:rPr>
          <w:spacing w:val="-2"/>
        </w:rPr>
        <w:t>.</w:t>
      </w:r>
    </w:p>
    <w:p w14:paraId="67F1A73D" w14:textId="77777777" w:rsidR="005245B3" w:rsidRDefault="00C3576F">
      <w:pPr>
        <w:pStyle w:val="a3"/>
        <w:ind w:right="222"/>
      </w:pPr>
      <w:r>
        <w:t xml:space="preserve">Исследования канцерогенности при пероральном приеме </w:t>
      </w:r>
      <w:proofErr w:type="spellStart"/>
      <w:r>
        <w:t>севеламера</w:t>
      </w:r>
      <w:proofErr w:type="spellEnd"/>
      <w:r>
        <w:t xml:space="preserve"> гидрохлорида проводились на мышах (дозы до 9 г/кг/</w:t>
      </w:r>
      <w:proofErr w:type="spellStart"/>
      <w:r>
        <w:t>сут</w:t>
      </w:r>
      <w:proofErr w:type="spellEnd"/>
      <w:r>
        <w:t>) и крысах (0,3, 1 или 3 г/кг/</w:t>
      </w:r>
      <w:proofErr w:type="spellStart"/>
      <w:r>
        <w:t>сут</w:t>
      </w:r>
      <w:proofErr w:type="spellEnd"/>
      <w:r>
        <w:t>). Отмечалась повышенная заболеваемость папилломой «переходной» клетки мочевого пузыря у самцов крыс группы высоких доз (эквивалентная доза для человека в два раза превышает максимальную клиническую дозу испытания 14,4 г). Не было никакого увеличения частоты возникновения опухолей, наблюдаемых у мышей (эквивалентная доза для человека в 3 раза выше максимальной клинической дозы испытания).</w:t>
      </w:r>
    </w:p>
    <w:p w14:paraId="3CA9C938" w14:textId="77777777" w:rsidR="005245B3" w:rsidRDefault="00C3576F">
      <w:pPr>
        <w:pStyle w:val="a3"/>
        <w:ind w:right="231"/>
      </w:pPr>
      <w:r>
        <w:t xml:space="preserve">В цитогенетическом тесте млекопитающих </w:t>
      </w:r>
      <w:proofErr w:type="spellStart"/>
      <w:r>
        <w:rPr>
          <w:i/>
        </w:rPr>
        <w:t>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vitro</w:t>
      </w:r>
      <w:proofErr w:type="spellEnd"/>
      <w:r>
        <w:rPr>
          <w:i/>
        </w:rPr>
        <w:t xml:space="preserve"> </w:t>
      </w:r>
      <w:r>
        <w:t xml:space="preserve">с метаболической активацией </w:t>
      </w:r>
      <w:proofErr w:type="spellStart"/>
      <w:r>
        <w:t>севеламера</w:t>
      </w:r>
      <w:proofErr w:type="spellEnd"/>
      <w:r>
        <w:t xml:space="preserve"> гидрохлорид вызывал статистически значимое увеличение числа структурных хромосомных аберраций. </w:t>
      </w:r>
      <w:proofErr w:type="spellStart"/>
      <w:r>
        <w:t>Севеламера</w:t>
      </w:r>
      <w:proofErr w:type="spellEnd"/>
      <w:r>
        <w:t xml:space="preserve"> гидрохлорид не был мутагенным в анализе бактериальной мутации </w:t>
      </w:r>
      <w:proofErr w:type="spellStart"/>
      <w:r>
        <w:t>Эймса</w:t>
      </w:r>
      <w:proofErr w:type="spellEnd"/>
      <w:r>
        <w:t>.</w:t>
      </w:r>
    </w:p>
    <w:p w14:paraId="58993F0F" w14:textId="77777777" w:rsidR="005245B3" w:rsidRDefault="00C3576F">
      <w:pPr>
        <w:pStyle w:val="a3"/>
        <w:spacing w:line="242" w:lineRule="auto"/>
        <w:ind w:right="238"/>
      </w:pPr>
      <w:r>
        <w:t xml:space="preserve">У крыс и собак </w:t>
      </w:r>
      <w:proofErr w:type="spellStart"/>
      <w:r>
        <w:t>севеламер</w:t>
      </w:r>
      <w:proofErr w:type="spellEnd"/>
      <w:r>
        <w:t xml:space="preserve"> снижает всасывание жирорастворимых витаминов D, E и K (факторы свертывания крови), а также фолиевой кислоты.</w:t>
      </w:r>
    </w:p>
    <w:p w14:paraId="0A151ADD" w14:textId="77777777" w:rsidR="005245B3" w:rsidRDefault="00C3576F">
      <w:pPr>
        <w:pStyle w:val="a3"/>
        <w:ind w:right="223"/>
      </w:pPr>
      <w:r>
        <w:t>Дефицит скелетной окостенелости наблюдался в нескольких</w:t>
      </w:r>
      <w:r>
        <w:rPr>
          <w:spacing w:val="-1"/>
        </w:rPr>
        <w:t xml:space="preserve"> </w:t>
      </w:r>
      <w:r>
        <w:t xml:space="preserve">местах у эмбрионов самок крыс, получавших дозу препарата </w:t>
      </w:r>
      <w:proofErr w:type="spellStart"/>
      <w:r>
        <w:t>севеламер</w:t>
      </w:r>
      <w:proofErr w:type="spellEnd"/>
      <w:r>
        <w:t xml:space="preserve"> в промежуточных и высоких дозах (эквивалентная доза для человека меньше максимальной клинической дозы испытания 14,4 г).</w:t>
      </w:r>
      <w:r>
        <w:rPr>
          <w:spacing w:val="-3"/>
        </w:rPr>
        <w:t xml:space="preserve"> </w:t>
      </w:r>
      <w:r>
        <w:t>Эти</w:t>
      </w:r>
      <w:r>
        <w:rPr>
          <w:spacing w:val="-4"/>
        </w:rPr>
        <w:t xml:space="preserve"> </w:t>
      </w:r>
      <w:r>
        <w:t>последствия</w:t>
      </w:r>
      <w:r>
        <w:rPr>
          <w:spacing w:val="-5"/>
        </w:rPr>
        <w:t xml:space="preserve"> </w:t>
      </w:r>
      <w:r>
        <w:t>могут быть вторичными по</w:t>
      </w:r>
      <w:r>
        <w:rPr>
          <w:spacing w:val="-5"/>
        </w:rPr>
        <w:t xml:space="preserve"> </w:t>
      </w:r>
      <w:r>
        <w:t>отношению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истощению</w:t>
      </w:r>
      <w:r>
        <w:rPr>
          <w:spacing w:val="-7"/>
        </w:rPr>
        <w:t xml:space="preserve"> </w:t>
      </w:r>
      <w:r>
        <w:t xml:space="preserve">витамина </w:t>
      </w:r>
      <w:r>
        <w:rPr>
          <w:spacing w:val="-6"/>
        </w:rPr>
        <w:t>D.</w:t>
      </w:r>
    </w:p>
    <w:p w14:paraId="66B43FCA" w14:textId="77777777" w:rsidR="005245B3" w:rsidRDefault="00C3576F">
      <w:pPr>
        <w:pStyle w:val="a3"/>
        <w:ind w:right="224"/>
      </w:pPr>
      <w:r>
        <w:t xml:space="preserve">У беременных крольчих, получающих пероральные дозы </w:t>
      </w:r>
      <w:proofErr w:type="spellStart"/>
      <w:r>
        <w:t>севеламера</w:t>
      </w:r>
      <w:proofErr w:type="spellEnd"/>
      <w:r>
        <w:t xml:space="preserve"> гидрохлорида путем </w:t>
      </w:r>
      <w:proofErr w:type="spellStart"/>
      <w:r>
        <w:t>гаважа</w:t>
      </w:r>
      <w:proofErr w:type="spellEnd"/>
      <w:r>
        <w:t xml:space="preserve"> в период органогенеза, наблюдается увеличение ранних резорбций в группе высоких доз (эквивалентная доза для человека в два раза превышала максимальную клиническую дозу испытания).</w:t>
      </w:r>
    </w:p>
    <w:p w14:paraId="2C00085E" w14:textId="77777777" w:rsidR="005245B3" w:rsidRDefault="00C3576F">
      <w:pPr>
        <w:pStyle w:val="a3"/>
        <w:ind w:right="227"/>
      </w:pPr>
      <w:proofErr w:type="spellStart"/>
      <w:r>
        <w:t>Севеламера</w:t>
      </w:r>
      <w:proofErr w:type="spellEnd"/>
      <w:r>
        <w:t xml:space="preserve"> гидрохлорид не оказывал влияние</w:t>
      </w:r>
      <w:r>
        <w:rPr>
          <w:spacing w:val="-1"/>
        </w:rPr>
        <w:t xml:space="preserve"> </w:t>
      </w:r>
      <w:r>
        <w:t>на фертильность самцов или самок крыс в исследовании диетического введения, в котором самки лечились от 14 дней до спаривания через период беременности и самцы лечились за 28 дней до спаривания. Самая высокая доза</w:t>
      </w:r>
      <w:r>
        <w:rPr>
          <w:spacing w:val="-3"/>
        </w:rPr>
        <w:t xml:space="preserve"> </w:t>
      </w:r>
      <w:r>
        <w:t>в этом</w:t>
      </w:r>
      <w:r>
        <w:rPr>
          <w:spacing w:val="-1"/>
        </w:rPr>
        <w:t xml:space="preserve"> </w:t>
      </w:r>
      <w:r>
        <w:t>исследовании</w:t>
      </w:r>
      <w:r>
        <w:rPr>
          <w:spacing w:val="-1"/>
        </w:rPr>
        <w:t xml:space="preserve"> </w:t>
      </w:r>
      <w:r>
        <w:t>составила 4,5</w:t>
      </w:r>
      <w:r>
        <w:rPr>
          <w:spacing w:val="-2"/>
        </w:rPr>
        <w:t xml:space="preserve"> </w:t>
      </w:r>
      <w:r>
        <w:t>г/кг/</w:t>
      </w:r>
      <w:proofErr w:type="spellStart"/>
      <w:r>
        <w:t>сут</w:t>
      </w:r>
      <w:proofErr w:type="spellEnd"/>
      <w:r>
        <w:t xml:space="preserve"> (эквивалентная</w:t>
      </w:r>
      <w:r>
        <w:rPr>
          <w:spacing w:val="-2"/>
        </w:rPr>
        <w:t xml:space="preserve"> </w:t>
      </w:r>
      <w:r>
        <w:t>доза для</w:t>
      </w:r>
    </w:p>
    <w:p w14:paraId="184DCBC7" w14:textId="77777777" w:rsidR="005245B3" w:rsidRDefault="005245B3">
      <w:pPr>
        <w:sectPr w:rsidR="005245B3">
          <w:pgSz w:w="11910" w:h="16840"/>
          <w:pgMar w:top="1040" w:right="900" w:bottom="280" w:left="1480" w:header="720" w:footer="720" w:gutter="0"/>
          <w:cols w:space="720"/>
        </w:sectPr>
      </w:pPr>
    </w:p>
    <w:p w14:paraId="7B8F4BA9" w14:textId="77777777" w:rsidR="005245B3" w:rsidRDefault="00C3576F">
      <w:pPr>
        <w:pStyle w:val="a3"/>
        <w:spacing w:before="66" w:line="242" w:lineRule="auto"/>
        <w:ind w:right="240"/>
        <w:jc w:val="left"/>
      </w:pPr>
      <w:r>
        <w:lastRenderedPageBreak/>
        <w:t>человека в 2 раза превышающая максимальную дозу клинического испытания 13 г/</w:t>
      </w:r>
      <w:proofErr w:type="spellStart"/>
      <w:r>
        <w:t>сут</w:t>
      </w:r>
      <w:proofErr w:type="spellEnd"/>
      <w:r>
        <w:t xml:space="preserve"> по сравнению с соответствующей БСА).</w:t>
      </w:r>
    </w:p>
    <w:p w14:paraId="43567F57" w14:textId="77777777" w:rsidR="005245B3" w:rsidRDefault="005245B3">
      <w:pPr>
        <w:pStyle w:val="a3"/>
        <w:spacing w:before="2"/>
        <w:ind w:left="0"/>
        <w:jc w:val="left"/>
      </w:pPr>
    </w:p>
    <w:p w14:paraId="68600AA3" w14:textId="77777777" w:rsidR="005245B3" w:rsidRDefault="00C3576F">
      <w:pPr>
        <w:pStyle w:val="1"/>
        <w:numPr>
          <w:ilvl w:val="0"/>
          <w:numId w:val="3"/>
        </w:numPr>
        <w:tabs>
          <w:tab w:val="left" w:pos="461"/>
        </w:tabs>
        <w:ind w:left="460" w:hanging="242"/>
      </w:pPr>
      <w:r>
        <w:t>ФАРМАЦЕВТИЧЕСКИЕ</w:t>
      </w:r>
      <w:r>
        <w:rPr>
          <w:spacing w:val="-10"/>
        </w:rPr>
        <w:t xml:space="preserve"> </w:t>
      </w:r>
      <w:r>
        <w:rPr>
          <w:spacing w:val="-2"/>
        </w:rPr>
        <w:t>СВОЙСТВА</w:t>
      </w:r>
    </w:p>
    <w:p w14:paraId="47850DD8" w14:textId="77777777" w:rsidR="005245B3" w:rsidRDefault="00C3576F">
      <w:pPr>
        <w:pStyle w:val="2"/>
        <w:numPr>
          <w:ilvl w:val="1"/>
          <w:numId w:val="2"/>
        </w:numPr>
        <w:tabs>
          <w:tab w:val="left" w:pos="643"/>
        </w:tabs>
        <w:spacing w:line="274" w:lineRule="exact"/>
        <w:ind w:hanging="424"/>
      </w:pPr>
      <w:r>
        <w:t>Перечень</w:t>
      </w:r>
      <w:r>
        <w:rPr>
          <w:spacing w:val="-3"/>
        </w:rPr>
        <w:t xml:space="preserve"> </w:t>
      </w:r>
      <w:r>
        <w:t>вспомогательных</w:t>
      </w:r>
      <w:r>
        <w:rPr>
          <w:spacing w:val="-6"/>
        </w:rPr>
        <w:t xml:space="preserve"> </w:t>
      </w:r>
      <w:r>
        <w:rPr>
          <w:spacing w:val="-2"/>
        </w:rPr>
        <w:t>веществ</w:t>
      </w:r>
    </w:p>
    <w:p w14:paraId="06D66E34" w14:textId="77777777" w:rsidR="005C4CDE" w:rsidRDefault="005C4CDE" w:rsidP="0047700E">
      <w:pPr>
        <w:spacing w:before="3"/>
        <w:ind w:left="221" w:right="4026"/>
        <w:rPr>
          <w:sz w:val="24"/>
          <w:szCs w:val="24"/>
        </w:rPr>
      </w:pPr>
      <w:proofErr w:type="spellStart"/>
      <w:r w:rsidRPr="005C4CDE">
        <w:rPr>
          <w:sz w:val="24"/>
          <w:szCs w:val="24"/>
        </w:rPr>
        <w:t>Коповидон</w:t>
      </w:r>
      <w:proofErr w:type="spellEnd"/>
      <w:r w:rsidRPr="005C4CDE">
        <w:rPr>
          <w:sz w:val="24"/>
          <w:szCs w:val="24"/>
        </w:rPr>
        <w:t xml:space="preserve"> (</w:t>
      </w:r>
      <w:proofErr w:type="spellStart"/>
      <w:r w:rsidRPr="005C4CDE">
        <w:rPr>
          <w:sz w:val="24"/>
          <w:szCs w:val="24"/>
        </w:rPr>
        <w:t>Koллидон</w:t>
      </w:r>
      <w:proofErr w:type="spellEnd"/>
      <w:r w:rsidRPr="005C4CDE">
        <w:rPr>
          <w:sz w:val="24"/>
          <w:szCs w:val="24"/>
        </w:rPr>
        <w:t xml:space="preserve"> VA64)</w:t>
      </w:r>
    </w:p>
    <w:p w14:paraId="35908CC7" w14:textId="0791FE53" w:rsidR="0047700E" w:rsidRPr="0047700E" w:rsidRDefault="0047700E" w:rsidP="0047700E">
      <w:pPr>
        <w:spacing w:before="3"/>
        <w:ind w:left="221" w:right="4026"/>
        <w:rPr>
          <w:sz w:val="24"/>
          <w:szCs w:val="24"/>
        </w:rPr>
      </w:pPr>
      <w:proofErr w:type="spellStart"/>
      <w:r w:rsidRPr="0047700E">
        <w:rPr>
          <w:sz w:val="24"/>
          <w:szCs w:val="24"/>
        </w:rPr>
        <w:t>Гидроксипропилцеллюлоза</w:t>
      </w:r>
      <w:proofErr w:type="spellEnd"/>
      <w:r w:rsidRPr="0047700E">
        <w:rPr>
          <w:sz w:val="24"/>
          <w:szCs w:val="24"/>
        </w:rPr>
        <w:t xml:space="preserve"> (</w:t>
      </w:r>
      <w:proofErr w:type="spellStart"/>
      <w:r w:rsidRPr="0047700E">
        <w:rPr>
          <w:sz w:val="24"/>
          <w:szCs w:val="24"/>
        </w:rPr>
        <w:t>Клюцел</w:t>
      </w:r>
      <w:proofErr w:type="spellEnd"/>
      <w:r w:rsidRPr="0047700E">
        <w:rPr>
          <w:sz w:val="24"/>
          <w:szCs w:val="24"/>
        </w:rPr>
        <w:t xml:space="preserve"> НХF)</w:t>
      </w:r>
    </w:p>
    <w:p w14:paraId="07BDDFFF" w14:textId="69F9E27F" w:rsidR="0047700E" w:rsidRPr="0047700E" w:rsidRDefault="0047700E" w:rsidP="0047700E">
      <w:pPr>
        <w:spacing w:before="3"/>
        <w:ind w:left="221" w:right="4026"/>
        <w:rPr>
          <w:sz w:val="24"/>
          <w:szCs w:val="24"/>
        </w:rPr>
      </w:pPr>
      <w:r w:rsidRPr="0047700E">
        <w:rPr>
          <w:sz w:val="24"/>
          <w:szCs w:val="24"/>
        </w:rPr>
        <w:t>Целлюлоза микрокристаллическая</w:t>
      </w:r>
      <w:r>
        <w:rPr>
          <w:sz w:val="24"/>
          <w:szCs w:val="24"/>
        </w:rPr>
        <w:t xml:space="preserve"> </w:t>
      </w:r>
      <w:r w:rsidRPr="0047700E">
        <w:rPr>
          <w:sz w:val="24"/>
          <w:szCs w:val="24"/>
        </w:rPr>
        <w:t>(</w:t>
      </w:r>
      <w:proofErr w:type="spellStart"/>
      <w:r w:rsidRPr="0047700E">
        <w:rPr>
          <w:sz w:val="24"/>
          <w:szCs w:val="24"/>
        </w:rPr>
        <w:t>Авицел</w:t>
      </w:r>
      <w:proofErr w:type="spellEnd"/>
      <w:r w:rsidRPr="0047700E">
        <w:rPr>
          <w:sz w:val="24"/>
          <w:szCs w:val="24"/>
        </w:rPr>
        <w:t xml:space="preserve"> РН-05)</w:t>
      </w:r>
    </w:p>
    <w:p w14:paraId="1A46DD61" w14:textId="77777777" w:rsidR="0047700E" w:rsidRPr="0047700E" w:rsidRDefault="0047700E" w:rsidP="0047700E">
      <w:pPr>
        <w:spacing w:before="3"/>
        <w:ind w:left="221" w:right="4026"/>
        <w:rPr>
          <w:sz w:val="24"/>
          <w:szCs w:val="24"/>
        </w:rPr>
      </w:pPr>
      <w:r w:rsidRPr="0047700E">
        <w:rPr>
          <w:sz w:val="24"/>
          <w:szCs w:val="24"/>
        </w:rPr>
        <w:t>Кремний диоксид коллоидный (Аэросил 200)</w:t>
      </w:r>
    </w:p>
    <w:p w14:paraId="74741709" w14:textId="0591B9F0" w:rsidR="00321AC2" w:rsidRDefault="0047700E" w:rsidP="0047700E">
      <w:pPr>
        <w:spacing w:before="3"/>
        <w:ind w:left="221" w:right="4026"/>
        <w:rPr>
          <w:sz w:val="24"/>
        </w:rPr>
      </w:pPr>
      <w:r w:rsidRPr="0047700E">
        <w:rPr>
          <w:sz w:val="24"/>
          <w:szCs w:val="24"/>
        </w:rPr>
        <w:t xml:space="preserve">Натрия </w:t>
      </w:r>
      <w:proofErr w:type="spellStart"/>
      <w:r w:rsidRPr="0047700E">
        <w:rPr>
          <w:sz w:val="24"/>
          <w:szCs w:val="24"/>
        </w:rPr>
        <w:t>стеарил</w:t>
      </w:r>
      <w:proofErr w:type="spellEnd"/>
      <w:r w:rsidRPr="0047700E">
        <w:rPr>
          <w:sz w:val="24"/>
          <w:szCs w:val="24"/>
        </w:rPr>
        <w:t xml:space="preserve"> </w:t>
      </w:r>
      <w:proofErr w:type="spellStart"/>
      <w:r w:rsidRPr="0047700E">
        <w:rPr>
          <w:sz w:val="24"/>
          <w:szCs w:val="24"/>
        </w:rPr>
        <w:t>фумарат</w:t>
      </w:r>
      <w:proofErr w:type="spellEnd"/>
      <w:r w:rsidR="00C3576F">
        <w:rPr>
          <w:sz w:val="24"/>
        </w:rPr>
        <w:t xml:space="preserve"> </w:t>
      </w:r>
    </w:p>
    <w:p w14:paraId="4296DA1E" w14:textId="303A9800" w:rsidR="0047700E" w:rsidRPr="0047700E" w:rsidRDefault="0047700E" w:rsidP="0047700E">
      <w:pPr>
        <w:spacing w:before="3"/>
        <w:ind w:left="221" w:right="4026"/>
        <w:rPr>
          <w:sz w:val="24"/>
          <w:szCs w:val="24"/>
        </w:rPr>
      </w:pPr>
      <w:r w:rsidRPr="0047700E">
        <w:rPr>
          <w:sz w:val="24"/>
          <w:szCs w:val="24"/>
        </w:rPr>
        <w:t>Вода очищенная</w:t>
      </w:r>
    </w:p>
    <w:p w14:paraId="61AC7B13" w14:textId="2B6A8F86" w:rsidR="005C4CDE" w:rsidRPr="005C4CDE" w:rsidRDefault="005C4CDE">
      <w:pPr>
        <w:pStyle w:val="a3"/>
        <w:spacing w:line="274" w:lineRule="exact"/>
        <w:jc w:val="left"/>
        <w:rPr>
          <w:i/>
          <w:iCs/>
        </w:rPr>
      </w:pPr>
      <w:r w:rsidRPr="005C4CDE">
        <w:rPr>
          <w:i/>
          <w:iCs/>
        </w:rPr>
        <w:t>Пленочное покрытие</w:t>
      </w:r>
    </w:p>
    <w:p w14:paraId="2CD8474E" w14:textId="228785E1" w:rsidR="005245B3" w:rsidRDefault="00C3576F" w:rsidP="005C4CDE">
      <w:pPr>
        <w:pStyle w:val="a3"/>
        <w:spacing w:line="274" w:lineRule="exact"/>
        <w:jc w:val="left"/>
      </w:pPr>
      <w:proofErr w:type="spellStart"/>
      <w:r>
        <w:t>Опадрай</w:t>
      </w:r>
      <w:proofErr w:type="spellEnd"/>
      <w:r>
        <w:rPr>
          <w:spacing w:val="-3"/>
        </w:rPr>
        <w:t xml:space="preserve"> </w:t>
      </w:r>
      <w:r w:rsidR="0047700E" w:rsidRPr="0047700E">
        <w:rPr>
          <w:spacing w:val="-2"/>
        </w:rPr>
        <w:t>белый 20F580006</w:t>
      </w:r>
      <w:r w:rsidR="005C4CDE">
        <w:rPr>
          <w:spacing w:val="-2"/>
        </w:rPr>
        <w:t xml:space="preserve"> (</w:t>
      </w:r>
      <w:proofErr w:type="spellStart"/>
      <w:r w:rsidR="0047700E" w:rsidRPr="0047700E">
        <w:t>гипромеллоза</w:t>
      </w:r>
      <w:proofErr w:type="spellEnd"/>
      <w:r w:rsidR="0047700E" w:rsidRPr="0047700E">
        <w:t xml:space="preserve"> 2910 6 </w:t>
      </w:r>
      <w:proofErr w:type="spellStart"/>
      <w:r w:rsidR="0047700E" w:rsidRPr="0047700E">
        <w:t>мПа·с</w:t>
      </w:r>
      <w:proofErr w:type="spellEnd"/>
      <w:r w:rsidR="0047700E" w:rsidRPr="0047700E">
        <w:t xml:space="preserve">, </w:t>
      </w:r>
      <w:proofErr w:type="spellStart"/>
      <w:r w:rsidR="0047700E" w:rsidRPr="0047700E">
        <w:t>гидроксипропил</w:t>
      </w:r>
      <w:proofErr w:type="spellEnd"/>
      <w:r w:rsidR="0047700E" w:rsidRPr="0047700E">
        <w:t xml:space="preserve">-целлюлоза 90000, </w:t>
      </w:r>
      <w:proofErr w:type="spellStart"/>
      <w:r w:rsidR="0047700E" w:rsidRPr="0047700E">
        <w:t>макрогол</w:t>
      </w:r>
      <w:proofErr w:type="spellEnd"/>
      <w:r w:rsidR="0047700E" w:rsidRPr="0047700E">
        <w:t xml:space="preserve">/ПЭГ 6000, </w:t>
      </w:r>
      <w:proofErr w:type="spellStart"/>
      <w:r w:rsidR="0047700E" w:rsidRPr="0047700E">
        <w:t>гипромеллоза</w:t>
      </w:r>
      <w:proofErr w:type="spellEnd"/>
      <w:r w:rsidR="0047700E" w:rsidRPr="0047700E">
        <w:t xml:space="preserve"> 2910 15 </w:t>
      </w:r>
      <w:proofErr w:type="spellStart"/>
      <w:r w:rsidR="0047700E" w:rsidRPr="0047700E">
        <w:t>мПа·с</w:t>
      </w:r>
      <w:proofErr w:type="spellEnd"/>
      <w:r w:rsidR="0047700E" w:rsidRPr="0047700E">
        <w:t>, титана диоксид (Е 171)</w:t>
      </w:r>
      <w:r w:rsidR="0047700E">
        <w:t xml:space="preserve">, </w:t>
      </w:r>
      <w:r>
        <w:t>вода очищенная</w:t>
      </w:r>
      <w:r w:rsidR="005C4CDE">
        <w:t>)</w:t>
      </w:r>
    </w:p>
    <w:p w14:paraId="50BB5838" w14:textId="67F67418" w:rsidR="00BF3F53" w:rsidRDefault="0047700E">
      <w:pPr>
        <w:pStyle w:val="a3"/>
        <w:spacing w:before="3"/>
        <w:ind w:right="241"/>
      </w:pPr>
      <w:r>
        <w:t xml:space="preserve"> </w:t>
      </w:r>
    </w:p>
    <w:p w14:paraId="00345208" w14:textId="77777777" w:rsidR="005245B3" w:rsidRDefault="00C3576F">
      <w:pPr>
        <w:pStyle w:val="2"/>
        <w:numPr>
          <w:ilvl w:val="1"/>
          <w:numId w:val="2"/>
        </w:numPr>
        <w:tabs>
          <w:tab w:val="left" w:pos="643"/>
        </w:tabs>
        <w:spacing w:before="2"/>
        <w:ind w:hanging="424"/>
      </w:pPr>
      <w:r>
        <w:rPr>
          <w:spacing w:val="-2"/>
        </w:rPr>
        <w:t>Несовместимость</w:t>
      </w:r>
    </w:p>
    <w:p w14:paraId="723BB673" w14:textId="77777777" w:rsidR="005245B3" w:rsidRDefault="00C3576F">
      <w:pPr>
        <w:pStyle w:val="a3"/>
        <w:spacing w:line="275" w:lineRule="exact"/>
      </w:pPr>
      <w:r>
        <w:t>Не</w:t>
      </w:r>
      <w:r>
        <w:rPr>
          <w:spacing w:val="-1"/>
        </w:rPr>
        <w:t xml:space="preserve"> </w:t>
      </w:r>
      <w:r>
        <w:rPr>
          <w:spacing w:val="-2"/>
        </w:rPr>
        <w:t>применимо</w:t>
      </w:r>
    </w:p>
    <w:p w14:paraId="77D346CC" w14:textId="77777777" w:rsidR="005245B3" w:rsidRDefault="00C3576F">
      <w:pPr>
        <w:pStyle w:val="2"/>
        <w:numPr>
          <w:ilvl w:val="1"/>
          <w:numId w:val="1"/>
        </w:numPr>
        <w:tabs>
          <w:tab w:val="left" w:pos="585"/>
        </w:tabs>
        <w:spacing w:before="3"/>
      </w:pPr>
      <w:r>
        <w:t>Срок</w:t>
      </w:r>
      <w:r>
        <w:rPr>
          <w:spacing w:val="-5"/>
        </w:rPr>
        <w:t xml:space="preserve"> </w:t>
      </w:r>
      <w:r>
        <w:rPr>
          <w:spacing w:val="-2"/>
        </w:rPr>
        <w:t>годности</w:t>
      </w:r>
    </w:p>
    <w:p w14:paraId="7F4FF36C" w14:textId="77777777" w:rsidR="005245B3" w:rsidRDefault="00C3576F">
      <w:pPr>
        <w:pStyle w:val="a3"/>
        <w:spacing w:line="274" w:lineRule="exact"/>
      </w:pPr>
      <w:r>
        <w:t>3</w:t>
      </w:r>
      <w:r>
        <w:rPr>
          <w:spacing w:val="2"/>
        </w:rPr>
        <w:t xml:space="preserve"> </w:t>
      </w:r>
      <w:r>
        <w:rPr>
          <w:spacing w:val="-4"/>
        </w:rPr>
        <w:t>года</w:t>
      </w:r>
    </w:p>
    <w:p w14:paraId="393A650E" w14:textId="77777777" w:rsidR="005245B3" w:rsidRDefault="00C3576F">
      <w:pPr>
        <w:pStyle w:val="a3"/>
        <w:spacing w:line="275" w:lineRule="exact"/>
      </w:pPr>
      <w:r>
        <w:t>Не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по истечении</w:t>
      </w:r>
      <w:r>
        <w:rPr>
          <w:spacing w:val="-3"/>
        </w:rPr>
        <w:t xml:space="preserve"> </w:t>
      </w:r>
      <w:r>
        <w:t>срока</w:t>
      </w:r>
      <w:r>
        <w:rPr>
          <w:spacing w:val="-5"/>
        </w:rPr>
        <w:t xml:space="preserve"> </w:t>
      </w:r>
      <w:r>
        <w:rPr>
          <w:spacing w:val="-2"/>
        </w:rPr>
        <w:t>годности.</w:t>
      </w:r>
    </w:p>
    <w:p w14:paraId="10439671" w14:textId="77777777" w:rsidR="005245B3" w:rsidRDefault="00C3576F">
      <w:pPr>
        <w:pStyle w:val="2"/>
        <w:numPr>
          <w:ilvl w:val="1"/>
          <w:numId w:val="1"/>
        </w:numPr>
        <w:tabs>
          <w:tab w:val="left" w:pos="585"/>
        </w:tabs>
        <w:spacing w:before="7" w:line="273" w:lineRule="exact"/>
      </w:pPr>
      <w:r>
        <w:t>Особые</w:t>
      </w:r>
      <w:r>
        <w:rPr>
          <w:spacing w:val="-4"/>
        </w:rPr>
        <w:t xml:space="preserve"> </w:t>
      </w:r>
      <w:r>
        <w:t>меры</w:t>
      </w:r>
      <w:r>
        <w:rPr>
          <w:spacing w:val="-6"/>
        </w:rPr>
        <w:t xml:space="preserve"> </w:t>
      </w:r>
      <w:r>
        <w:t>предосторожности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хранении</w:t>
      </w:r>
    </w:p>
    <w:p w14:paraId="0BEF240D" w14:textId="77777777" w:rsidR="005245B3" w:rsidRDefault="00C3576F">
      <w:pPr>
        <w:pStyle w:val="a3"/>
        <w:spacing w:line="237" w:lineRule="auto"/>
        <w:ind w:right="5047"/>
        <w:jc w:val="left"/>
      </w:pPr>
      <w:r>
        <w:t>Хранить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температуре</w:t>
      </w:r>
      <w:r>
        <w:rPr>
          <w:spacing w:val="-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выше</w:t>
      </w:r>
      <w:r>
        <w:rPr>
          <w:spacing w:val="-4"/>
        </w:rPr>
        <w:t xml:space="preserve"> </w:t>
      </w:r>
      <w:r>
        <w:t>25</w:t>
      </w:r>
      <w:r>
        <w:rPr>
          <w:rFonts w:ascii="Symbol" w:hAnsi="Symbol"/>
        </w:rPr>
        <w:t></w:t>
      </w:r>
      <w:r>
        <w:t>C. Хранить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недоступном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месте!</w:t>
      </w:r>
    </w:p>
    <w:p w14:paraId="7046C6A2" w14:textId="77777777" w:rsidR="005245B3" w:rsidRDefault="00C3576F">
      <w:pPr>
        <w:pStyle w:val="2"/>
        <w:numPr>
          <w:ilvl w:val="1"/>
          <w:numId w:val="1"/>
        </w:numPr>
        <w:tabs>
          <w:tab w:val="left" w:pos="581"/>
        </w:tabs>
        <w:spacing w:before="7" w:line="273" w:lineRule="exact"/>
        <w:ind w:left="580" w:hanging="362"/>
      </w:pPr>
      <w:r>
        <w:t>Форма</w:t>
      </w:r>
      <w:r>
        <w:rPr>
          <w:spacing w:val="-4"/>
        </w:rPr>
        <w:t xml:space="preserve"> </w:t>
      </w:r>
      <w:r>
        <w:t>выпуска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упаковка</w:t>
      </w:r>
    </w:p>
    <w:p w14:paraId="0338888D" w14:textId="68CFF392" w:rsidR="001E486D" w:rsidRDefault="001E486D" w:rsidP="001E486D">
      <w:pPr>
        <w:pStyle w:val="a3"/>
        <w:spacing w:line="242" w:lineRule="auto"/>
      </w:pPr>
      <w:r>
        <w:t xml:space="preserve">По 180 таблеток помещают во флакон из полиэтилена высокой плотности, закрытый полипропиленовой завинчивающейся крышкой с защитой от детей. </w:t>
      </w:r>
    </w:p>
    <w:p w14:paraId="218A0FC5" w14:textId="56323243" w:rsidR="005245B3" w:rsidRDefault="001E486D" w:rsidP="001E486D">
      <w:pPr>
        <w:pStyle w:val="a3"/>
        <w:spacing w:line="242" w:lineRule="auto"/>
        <w:jc w:val="left"/>
      </w:pPr>
      <w:r>
        <w:t>По 1 флакону вместе с инструкцией по медицинскому применению на казахском и русском языках помещают в пачку из картона.</w:t>
      </w:r>
    </w:p>
    <w:p w14:paraId="488BB841" w14:textId="77777777" w:rsidR="005245B3" w:rsidRDefault="00C3576F">
      <w:pPr>
        <w:pStyle w:val="2"/>
        <w:numPr>
          <w:ilvl w:val="1"/>
          <w:numId w:val="1"/>
        </w:numPr>
        <w:tabs>
          <w:tab w:val="left" w:pos="792"/>
        </w:tabs>
        <w:spacing w:line="240" w:lineRule="auto"/>
        <w:ind w:left="219" w:right="223" w:firstLine="0"/>
      </w:pPr>
      <w:r>
        <w:t>Особые меры предосторожности при уничтожении использованного лекарственного препарата или отходов, полученных после применения лекарственного препарата или работы с ним</w:t>
      </w:r>
    </w:p>
    <w:p w14:paraId="33287E97" w14:textId="77777777" w:rsidR="005245B3" w:rsidRDefault="00C3576F">
      <w:pPr>
        <w:pStyle w:val="a3"/>
        <w:spacing w:line="237" w:lineRule="auto"/>
        <w:ind w:right="228"/>
      </w:pPr>
      <w:r>
        <w:t>Неиспользованный препарат или отходы должны быть уничтожены в соответствии с локальными требованиями.</w:t>
      </w:r>
    </w:p>
    <w:p w14:paraId="338D2CB1" w14:textId="77777777" w:rsidR="005245B3" w:rsidRDefault="00C3576F">
      <w:pPr>
        <w:pStyle w:val="2"/>
        <w:numPr>
          <w:ilvl w:val="1"/>
          <w:numId w:val="1"/>
        </w:numPr>
        <w:tabs>
          <w:tab w:val="left" w:pos="585"/>
        </w:tabs>
        <w:spacing w:line="272" w:lineRule="exact"/>
      </w:pPr>
      <w:r>
        <w:t>Условия</w:t>
      </w:r>
      <w:r>
        <w:rPr>
          <w:spacing w:val="-3"/>
        </w:rPr>
        <w:t xml:space="preserve"> </w:t>
      </w:r>
      <w:r>
        <w:t>отпуска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rPr>
          <w:spacing w:val="-2"/>
        </w:rPr>
        <w:t>аптек</w:t>
      </w:r>
    </w:p>
    <w:p w14:paraId="49F840DE" w14:textId="77777777" w:rsidR="005245B3" w:rsidRDefault="00C3576F">
      <w:pPr>
        <w:pStyle w:val="a3"/>
        <w:spacing w:line="272" w:lineRule="exact"/>
      </w:pPr>
      <w:r>
        <w:t>По</w:t>
      </w:r>
      <w:r>
        <w:rPr>
          <w:spacing w:val="3"/>
        </w:rPr>
        <w:t xml:space="preserve"> </w:t>
      </w:r>
      <w:r>
        <w:rPr>
          <w:spacing w:val="-2"/>
        </w:rPr>
        <w:t>рецепту</w:t>
      </w:r>
    </w:p>
    <w:p w14:paraId="53DD51D3" w14:textId="77777777" w:rsidR="005245B3" w:rsidRDefault="005245B3">
      <w:pPr>
        <w:pStyle w:val="a3"/>
        <w:spacing w:before="4"/>
        <w:ind w:left="0"/>
        <w:jc w:val="left"/>
      </w:pPr>
    </w:p>
    <w:p w14:paraId="6C98E8F0" w14:textId="77777777" w:rsidR="005245B3" w:rsidRDefault="00C3576F">
      <w:pPr>
        <w:pStyle w:val="1"/>
        <w:numPr>
          <w:ilvl w:val="0"/>
          <w:numId w:val="3"/>
        </w:numPr>
        <w:tabs>
          <w:tab w:val="left" w:pos="464"/>
        </w:tabs>
        <w:ind w:hanging="245"/>
        <w:jc w:val="both"/>
      </w:pPr>
      <w:r>
        <w:t>ДЕРЖАТЕЛЬ</w:t>
      </w:r>
      <w:r>
        <w:rPr>
          <w:spacing w:val="-8"/>
        </w:rPr>
        <w:t xml:space="preserve"> </w:t>
      </w:r>
      <w:r>
        <w:t>РЕГИСТРАЦИОННОГО</w:t>
      </w:r>
      <w:r>
        <w:rPr>
          <w:spacing w:val="-9"/>
        </w:rPr>
        <w:t xml:space="preserve"> </w:t>
      </w:r>
      <w:r>
        <w:rPr>
          <w:spacing w:val="-2"/>
        </w:rPr>
        <w:t>УДОСТОВЕРЕНИЯ</w:t>
      </w:r>
    </w:p>
    <w:p w14:paraId="1002A127" w14:textId="77777777" w:rsidR="00AB5B6D" w:rsidRPr="00AB5B6D" w:rsidRDefault="00AB5B6D" w:rsidP="00AB5B6D">
      <w:pPr>
        <w:ind w:left="219"/>
        <w:rPr>
          <w:sz w:val="24"/>
          <w:szCs w:val="24"/>
        </w:rPr>
      </w:pPr>
      <w:r w:rsidRPr="00AB5B6D">
        <w:rPr>
          <w:sz w:val="24"/>
          <w:szCs w:val="24"/>
        </w:rPr>
        <w:t>ТОО «</w:t>
      </w:r>
      <w:proofErr w:type="spellStart"/>
      <w:r w:rsidRPr="00AB5B6D">
        <w:rPr>
          <w:sz w:val="24"/>
          <w:szCs w:val="24"/>
        </w:rPr>
        <w:t>Rogers</w:t>
      </w:r>
      <w:proofErr w:type="spellEnd"/>
      <w:r w:rsidRPr="00AB5B6D">
        <w:rPr>
          <w:sz w:val="24"/>
          <w:szCs w:val="24"/>
        </w:rPr>
        <w:t xml:space="preserve"> </w:t>
      </w:r>
      <w:proofErr w:type="spellStart"/>
      <w:r w:rsidRPr="00AB5B6D">
        <w:rPr>
          <w:sz w:val="24"/>
          <w:szCs w:val="24"/>
        </w:rPr>
        <w:t>Pharma</w:t>
      </w:r>
      <w:proofErr w:type="spellEnd"/>
      <w:r w:rsidRPr="00AB5B6D">
        <w:rPr>
          <w:sz w:val="24"/>
          <w:szCs w:val="24"/>
        </w:rPr>
        <w:t>», Казахстан</w:t>
      </w:r>
    </w:p>
    <w:p w14:paraId="4FED1D79" w14:textId="77777777" w:rsidR="00AB5B6D" w:rsidRPr="00AB5B6D" w:rsidRDefault="00AB5B6D" w:rsidP="00AB5B6D">
      <w:pPr>
        <w:ind w:firstLine="218"/>
        <w:rPr>
          <w:sz w:val="24"/>
          <w:szCs w:val="24"/>
        </w:rPr>
      </w:pPr>
      <w:r w:rsidRPr="00AB5B6D">
        <w:rPr>
          <w:sz w:val="24"/>
          <w:szCs w:val="24"/>
        </w:rPr>
        <w:t xml:space="preserve">050043, г. Алматы, мкн. </w:t>
      </w:r>
      <w:proofErr w:type="spellStart"/>
      <w:r w:rsidRPr="00AB5B6D">
        <w:rPr>
          <w:sz w:val="24"/>
          <w:szCs w:val="24"/>
        </w:rPr>
        <w:t>Мирас</w:t>
      </w:r>
      <w:proofErr w:type="spellEnd"/>
      <w:r w:rsidRPr="00AB5B6D">
        <w:rPr>
          <w:sz w:val="24"/>
          <w:szCs w:val="24"/>
        </w:rPr>
        <w:t xml:space="preserve">, 157, </w:t>
      </w:r>
      <w:proofErr w:type="spellStart"/>
      <w:r w:rsidRPr="00AB5B6D">
        <w:rPr>
          <w:sz w:val="24"/>
          <w:szCs w:val="24"/>
        </w:rPr>
        <w:t>н.п</w:t>
      </w:r>
      <w:proofErr w:type="spellEnd"/>
      <w:r w:rsidRPr="00AB5B6D">
        <w:rPr>
          <w:sz w:val="24"/>
          <w:szCs w:val="24"/>
        </w:rPr>
        <w:t>. 819</w:t>
      </w:r>
    </w:p>
    <w:p w14:paraId="54CC91FB" w14:textId="77777777" w:rsidR="00C7111B" w:rsidRDefault="00AB5B6D" w:rsidP="00AB5B6D">
      <w:pPr>
        <w:ind w:firstLine="218"/>
        <w:rPr>
          <w:sz w:val="24"/>
          <w:szCs w:val="24"/>
          <w:lang w:val="en-US"/>
        </w:rPr>
      </w:pPr>
      <w:r w:rsidRPr="00AB5B6D">
        <w:rPr>
          <w:sz w:val="24"/>
          <w:szCs w:val="24"/>
        </w:rPr>
        <w:t>Тел</w:t>
      </w:r>
      <w:r w:rsidRPr="00AB5B6D">
        <w:rPr>
          <w:sz w:val="24"/>
          <w:szCs w:val="24"/>
          <w:lang w:val="en-US"/>
        </w:rPr>
        <w:t>. (727) 311-81-96/97</w:t>
      </w:r>
    </w:p>
    <w:p w14:paraId="56908FA9" w14:textId="527E5D42" w:rsidR="00AB5B6D" w:rsidRPr="00AB5B6D" w:rsidRDefault="00AB5B6D" w:rsidP="00AB5B6D">
      <w:pPr>
        <w:ind w:firstLine="218"/>
        <w:rPr>
          <w:sz w:val="24"/>
          <w:szCs w:val="24"/>
          <w:lang w:val="en-US"/>
        </w:rPr>
      </w:pPr>
      <w:r w:rsidRPr="00AB5B6D">
        <w:rPr>
          <w:sz w:val="24"/>
          <w:szCs w:val="24"/>
          <w:lang w:val="en-US"/>
        </w:rPr>
        <w:t>e-mail: office.secretary@rogersgroup.in</w:t>
      </w:r>
    </w:p>
    <w:p w14:paraId="2B7AB818" w14:textId="77777777" w:rsidR="005245B3" w:rsidRPr="00AB5B6D" w:rsidRDefault="005245B3">
      <w:pPr>
        <w:pStyle w:val="a3"/>
        <w:spacing w:before="7"/>
        <w:ind w:left="0"/>
        <w:jc w:val="left"/>
        <w:rPr>
          <w:sz w:val="16"/>
          <w:lang w:val="en-US"/>
        </w:rPr>
      </w:pPr>
    </w:p>
    <w:p w14:paraId="1DF52C70" w14:textId="3E2B898F" w:rsidR="005245B3" w:rsidRDefault="00C3576F">
      <w:pPr>
        <w:pStyle w:val="1"/>
        <w:tabs>
          <w:tab w:val="left" w:pos="1328"/>
          <w:tab w:val="left" w:pos="4236"/>
          <w:tab w:val="left" w:pos="6526"/>
        </w:tabs>
        <w:spacing w:before="90" w:line="242" w:lineRule="auto"/>
        <w:ind w:left="219" w:right="237" w:firstLine="0"/>
        <w:rPr>
          <w:spacing w:val="-2"/>
        </w:rPr>
      </w:pPr>
      <w:r>
        <w:rPr>
          <w:spacing w:val="-4"/>
        </w:rPr>
        <w:t>7.1.</w:t>
      </w:r>
      <w:r>
        <w:tab/>
      </w:r>
      <w:r>
        <w:rPr>
          <w:spacing w:val="-2"/>
        </w:rPr>
        <w:t>ПРЕДСТАВИТЕЛЬ</w:t>
      </w:r>
      <w:r>
        <w:tab/>
      </w:r>
      <w:r>
        <w:rPr>
          <w:spacing w:val="-2"/>
        </w:rPr>
        <w:t>ДЕРЖАТЕЛЯ</w:t>
      </w:r>
      <w:r>
        <w:tab/>
      </w:r>
      <w:r>
        <w:rPr>
          <w:spacing w:val="-2"/>
        </w:rPr>
        <w:t>РЕГИСТРАЦИОННОГО УДОСТОВЕРЕНИЯ</w:t>
      </w:r>
    </w:p>
    <w:p w14:paraId="274907EB" w14:textId="2FFAACEC" w:rsidR="00BF3F53" w:rsidRPr="00BF6945" w:rsidRDefault="00BF3F53">
      <w:pPr>
        <w:pStyle w:val="1"/>
        <w:tabs>
          <w:tab w:val="left" w:pos="1328"/>
          <w:tab w:val="left" w:pos="4236"/>
          <w:tab w:val="left" w:pos="6526"/>
        </w:tabs>
        <w:spacing w:before="90" w:line="242" w:lineRule="auto"/>
        <w:ind w:left="219" w:right="237" w:firstLine="0"/>
        <w:rPr>
          <w:b w:val="0"/>
          <w:bCs w:val="0"/>
        </w:rPr>
      </w:pPr>
      <w:r w:rsidRPr="00BF6945">
        <w:rPr>
          <w:b w:val="0"/>
          <w:bCs w:val="0"/>
          <w:spacing w:val="-2"/>
        </w:rPr>
        <w:t>Претензии потребителей направлять по адресу:</w:t>
      </w:r>
    </w:p>
    <w:p w14:paraId="4A50016D" w14:textId="77777777" w:rsidR="00C3576F" w:rsidRPr="00C3576F" w:rsidRDefault="00C3576F" w:rsidP="00BF6945">
      <w:pPr>
        <w:pStyle w:val="a3"/>
        <w:spacing w:line="237" w:lineRule="auto"/>
        <w:ind w:right="228"/>
      </w:pPr>
      <w:r w:rsidRPr="00C3576F">
        <w:t>Республика Казахстан</w:t>
      </w:r>
    </w:p>
    <w:p w14:paraId="6C171A20" w14:textId="77777777" w:rsidR="00AB5B6D" w:rsidRPr="00C7111B" w:rsidRDefault="00AB5B6D" w:rsidP="00AB5B6D">
      <w:pPr>
        <w:ind w:firstLine="219"/>
        <w:rPr>
          <w:sz w:val="24"/>
          <w:szCs w:val="24"/>
        </w:rPr>
      </w:pPr>
      <w:r w:rsidRPr="00C45C13">
        <w:rPr>
          <w:sz w:val="24"/>
          <w:szCs w:val="24"/>
        </w:rPr>
        <w:t>ТОО</w:t>
      </w:r>
      <w:r w:rsidRPr="00C7111B">
        <w:rPr>
          <w:sz w:val="24"/>
          <w:szCs w:val="24"/>
        </w:rPr>
        <w:t xml:space="preserve"> «</w:t>
      </w:r>
      <w:r w:rsidRPr="00AB5B6D">
        <w:rPr>
          <w:sz w:val="24"/>
          <w:szCs w:val="24"/>
          <w:lang w:val="en-US"/>
        </w:rPr>
        <w:t>Rogers</w:t>
      </w:r>
      <w:r w:rsidRPr="00C7111B">
        <w:rPr>
          <w:sz w:val="24"/>
          <w:szCs w:val="24"/>
        </w:rPr>
        <w:t xml:space="preserve"> </w:t>
      </w:r>
      <w:r w:rsidRPr="00AB5B6D">
        <w:rPr>
          <w:sz w:val="24"/>
          <w:szCs w:val="24"/>
          <w:lang w:val="en-US"/>
        </w:rPr>
        <w:t>Pharma</w:t>
      </w:r>
      <w:r w:rsidRPr="00C7111B">
        <w:rPr>
          <w:sz w:val="24"/>
          <w:szCs w:val="24"/>
        </w:rPr>
        <w:t>»</w:t>
      </w:r>
    </w:p>
    <w:p w14:paraId="37C90FA6" w14:textId="77777777" w:rsidR="00AB5B6D" w:rsidRDefault="00AB5B6D" w:rsidP="00AB5B6D">
      <w:pPr>
        <w:ind w:firstLine="219"/>
        <w:rPr>
          <w:sz w:val="24"/>
          <w:szCs w:val="24"/>
        </w:rPr>
      </w:pPr>
      <w:r w:rsidRPr="00C7111B">
        <w:rPr>
          <w:sz w:val="24"/>
          <w:szCs w:val="24"/>
        </w:rPr>
        <w:t xml:space="preserve">050043, </w:t>
      </w:r>
      <w:r w:rsidRPr="00C45C13">
        <w:rPr>
          <w:sz w:val="24"/>
          <w:szCs w:val="24"/>
        </w:rPr>
        <w:t>г</w:t>
      </w:r>
      <w:r w:rsidRPr="00C7111B">
        <w:rPr>
          <w:sz w:val="24"/>
          <w:szCs w:val="24"/>
        </w:rPr>
        <w:t xml:space="preserve">. </w:t>
      </w:r>
      <w:r w:rsidRPr="00C45C13">
        <w:rPr>
          <w:sz w:val="24"/>
          <w:szCs w:val="24"/>
        </w:rPr>
        <w:t>Алматы</w:t>
      </w:r>
      <w:r w:rsidRPr="00C7111B">
        <w:rPr>
          <w:sz w:val="24"/>
          <w:szCs w:val="24"/>
        </w:rPr>
        <w:t xml:space="preserve">, </w:t>
      </w:r>
      <w:r w:rsidRPr="00C45C13">
        <w:rPr>
          <w:sz w:val="24"/>
          <w:szCs w:val="24"/>
        </w:rPr>
        <w:t>мкн</w:t>
      </w:r>
      <w:r w:rsidRPr="00C7111B">
        <w:rPr>
          <w:sz w:val="24"/>
          <w:szCs w:val="24"/>
        </w:rPr>
        <w:t xml:space="preserve">. </w:t>
      </w:r>
      <w:proofErr w:type="spellStart"/>
      <w:r w:rsidRPr="00C45C13">
        <w:rPr>
          <w:sz w:val="24"/>
          <w:szCs w:val="24"/>
        </w:rPr>
        <w:t>Мирас</w:t>
      </w:r>
      <w:proofErr w:type="spellEnd"/>
      <w:r w:rsidRPr="00C45C13">
        <w:rPr>
          <w:sz w:val="24"/>
          <w:szCs w:val="24"/>
        </w:rPr>
        <w:t xml:space="preserve">, 157, </w:t>
      </w:r>
      <w:proofErr w:type="spellStart"/>
      <w:r w:rsidRPr="00C45C13">
        <w:rPr>
          <w:sz w:val="24"/>
          <w:szCs w:val="24"/>
        </w:rPr>
        <w:t>н.п</w:t>
      </w:r>
      <w:proofErr w:type="spellEnd"/>
      <w:r w:rsidRPr="00C45C13">
        <w:rPr>
          <w:sz w:val="24"/>
          <w:szCs w:val="24"/>
        </w:rPr>
        <w:t xml:space="preserve">. 819. </w:t>
      </w:r>
    </w:p>
    <w:p w14:paraId="50D19F1A" w14:textId="6529A89D" w:rsidR="00AB5B6D" w:rsidRDefault="00AB5B6D" w:rsidP="00AB5B6D">
      <w:pPr>
        <w:ind w:firstLine="219"/>
        <w:rPr>
          <w:sz w:val="24"/>
          <w:szCs w:val="24"/>
          <w:lang w:val="en-US"/>
        </w:rPr>
      </w:pPr>
      <w:r w:rsidRPr="00C45C13">
        <w:rPr>
          <w:sz w:val="24"/>
          <w:szCs w:val="24"/>
        </w:rPr>
        <w:t>Тел</w:t>
      </w:r>
      <w:r w:rsidRPr="00AB5B6D">
        <w:rPr>
          <w:sz w:val="24"/>
          <w:szCs w:val="24"/>
          <w:lang w:val="en-US"/>
        </w:rPr>
        <w:t xml:space="preserve">. (727) 311-81-96/97 </w:t>
      </w:r>
    </w:p>
    <w:p w14:paraId="0A367A90" w14:textId="418C8D2D" w:rsidR="005C17C2" w:rsidRPr="005C17C2" w:rsidRDefault="005C17C2" w:rsidP="00AB5B6D">
      <w:pPr>
        <w:ind w:firstLine="219"/>
        <w:rPr>
          <w:sz w:val="24"/>
          <w:szCs w:val="24"/>
        </w:rPr>
      </w:pPr>
      <w:r w:rsidRPr="005C17C2">
        <w:rPr>
          <w:sz w:val="24"/>
          <w:szCs w:val="24"/>
        </w:rPr>
        <w:t>Телефон с 24-х часовой доступностью: + 77479911904</w:t>
      </w:r>
    </w:p>
    <w:p w14:paraId="63E36341" w14:textId="060DD2D6" w:rsidR="00AB5B6D" w:rsidRPr="004A5AF1" w:rsidRDefault="00AB5B6D" w:rsidP="00AB5B6D">
      <w:pPr>
        <w:ind w:firstLine="219"/>
        <w:rPr>
          <w:sz w:val="28"/>
          <w:szCs w:val="28"/>
          <w:lang w:val="en-US"/>
        </w:rPr>
      </w:pPr>
      <w:r w:rsidRPr="00AB5B6D">
        <w:rPr>
          <w:sz w:val="24"/>
          <w:szCs w:val="24"/>
          <w:lang w:val="en-US"/>
        </w:rPr>
        <w:t xml:space="preserve">e-mail: </w:t>
      </w:r>
      <w:hyperlink r:id="rId6" w:history="1">
        <w:r w:rsidR="004A5AF1" w:rsidRPr="005C17C2">
          <w:rPr>
            <w:rStyle w:val="ac"/>
            <w:sz w:val="24"/>
            <w:szCs w:val="24"/>
            <w:lang w:val="en-US"/>
          </w:rPr>
          <w:t>pharmacovigilance@rogerspharma.kz</w:t>
        </w:r>
      </w:hyperlink>
      <w:r w:rsidR="004A5AF1" w:rsidRPr="005C17C2">
        <w:rPr>
          <w:sz w:val="24"/>
          <w:szCs w:val="24"/>
          <w:lang w:val="en-US"/>
        </w:rPr>
        <w:t xml:space="preserve"> </w:t>
      </w:r>
      <w:r w:rsidRPr="004A5AF1">
        <w:rPr>
          <w:sz w:val="28"/>
          <w:szCs w:val="28"/>
          <w:lang w:val="en-US"/>
        </w:rPr>
        <w:t xml:space="preserve"> </w:t>
      </w:r>
    </w:p>
    <w:p w14:paraId="4F10C21E" w14:textId="77777777" w:rsidR="005245B3" w:rsidRPr="00AB5B6D" w:rsidRDefault="005245B3" w:rsidP="00BF6945">
      <w:pPr>
        <w:pStyle w:val="a3"/>
        <w:spacing w:before="5"/>
        <w:ind w:left="246"/>
        <w:jc w:val="left"/>
        <w:rPr>
          <w:lang w:val="en-US"/>
        </w:rPr>
      </w:pPr>
    </w:p>
    <w:p w14:paraId="50F3E10C" w14:textId="2F342DB2" w:rsidR="005245B3" w:rsidRPr="00B43F95" w:rsidRDefault="00C3576F">
      <w:pPr>
        <w:pStyle w:val="1"/>
        <w:numPr>
          <w:ilvl w:val="0"/>
          <w:numId w:val="3"/>
        </w:numPr>
        <w:tabs>
          <w:tab w:val="left" w:pos="464"/>
        </w:tabs>
        <w:spacing w:line="272" w:lineRule="exact"/>
        <w:ind w:hanging="245"/>
      </w:pPr>
      <w:r>
        <w:t>НОМЕР</w:t>
      </w:r>
      <w:r>
        <w:rPr>
          <w:spacing w:val="-9"/>
        </w:rPr>
        <w:t xml:space="preserve"> </w:t>
      </w:r>
      <w:r>
        <w:t>РЕГИСТРАЦИОННОГО</w:t>
      </w:r>
      <w:r>
        <w:rPr>
          <w:spacing w:val="-5"/>
        </w:rPr>
        <w:t xml:space="preserve"> </w:t>
      </w:r>
      <w:r>
        <w:rPr>
          <w:spacing w:val="-2"/>
        </w:rPr>
        <w:t>УДОСТОВЕРЕНИЯ</w:t>
      </w:r>
    </w:p>
    <w:p w14:paraId="7FC9C606" w14:textId="77777777" w:rsidR="00B43F95" w:rsidRDefault="00B43F95" w:rsidP="00B43F95">
      <w:pPr>
        <w:pStyle w:val="1"/>
        <w:tabs>
          <w:tab w:val="left" w:pos="464"/>
        </w:tabs>
        <w:spacing w:line="272" w:lineRule="exact"/>
        <w:ind w:firstLine="0"/>
      </w:pPr>
    </w:p>
    <w:p w14:paraId="6B4AD805" w14:textId="77777777" w:rsidR="005245B3" w:rsidRDefault="00C3576F">
      <w:pPr>
        <w:pStyle w:val="1"/>
        <w:numPr>
          <w:ilvl w:val="0"/>
          <w:numId w:val="3"/>
        </w:numPr>
        <w:tabs>
          <w:tab w:val="left" w:pos="508"/>
        </w:tabs>
        <w:spacing w:before="72" w:line="237" w:lineRule="auto"/>
        <w:ind w:left="219" w:right="237" w:firstLine="0"/>
      </w:pPr>
      <w:r>
        <w:t>ДАТА</w:t>
      </w:r>
      <w:r>
        <w:rPr>
          <w:spacing w:val="31"/>
        </w:rPr>
        <w:t xml:space="preserve"> </w:t>
      </w:r>
      <w:r>
        <w:t>ПЕРВИЧНОЙ</w:t>
      </w:r>
      <w:r>
        <w:rPr>
          <w:spacing w:val="28"/>
        </w:rPr>
        <w:t xml:space="preserve"> </w:t>
      </w:r>
      <w:r>
        <w:t>РЕГИСТРАЦИИ</w:t>
      </w:r>
      <w:r>
        <w:rPr>
          <w:spacing w:val="32"/>
        </w:rPr>
        <w:t xml:space="preserve"> </w:t>
      </w:r>
      <w:r>
        <w:t>(ПОДТВЕРЖДЕНИЯ</w:t>
      </w:r>
      <w:r>
        <w:rPr>
          <w:spacing w:val="31"/>
        </w:rPr>
        <w:t xml:space="preserve"> </w:t>
      </w:r>
      <w:r>
        <w:t xml:space="preserve">РЕГИСТРАЦИИ, </w:t>
      </w:r>
      <w:r>
        <w:rPr>
          <w:spacing w:val="-2"/>
        </w:rPr>
        <w:t>ПЕРЕРЕГИСТРАЦИИ)</w:t>
      </w:r>
    </w:p>
    <w:p w14:paraId="314E157A" w14:textId="633A45C3" w:rsidR="005245B3" w:rsidRDefault="00C3576F">
      <w:pPr>
        <w:pStyle w:val="a3"/>
        <w:spacing w:line="273" w:lineRule="exact"/>
        <w:jc w:val="left"/>
      </w:pPr>
      <w:r>
        <w:t>Дата</w:t>
      </w:r>
      <w:r>
        <w:rPr>
          <w:spacing w:val="-2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регистрации:</w:t>
      </w:r>
      <w:r>
        <w:rPr>
          <w:spacing w:val="4"/>
        </w:rPr>
        <w:t xml:space="preserve"> </w:t>
      </w:r>
    </w:p>
    <w:p w14:paraId="1B9AC543" w14:textId="4D9331FD" w:rsidR="005245B3" w:rsidRDefault="00C3576F">
      <w:pPr>
        <w:pStyle w:val="a3"/>
        <w:spacing w:line="275" w:lineRule="exact"/>
        <w:jc w:val="left"/>
      </w:pPr>
      <w:r>
        <w:t>Дата</w:t>
      </w:r>
      <w:r>
        <w:rPr>
          <w:spacing w:val="-3"/>
        </w:rPr>
        <w:t xml:space="preserve"> </w:t>
      </w:r>
      <w:r>
        <w:t>последнего</w:t>
      </w:r>
      <w:r>
        <w:rPr>
          <w:spacing w:val="-1"/>
        </w:rPr>
        <w:t xml:space="preserve"> </w:t>
      </w:r>
      <w:r>
        <w:t>подтверждения</w:t>
      </w:r>
      <w:r>
        <w:rPr>
          <w:spacing w:val="-5"/>
        </w:rPr>
        <w:t xml:space="preserve"> </w:t>
      </w:r>
      <w:r>
        <w:t>регистрации</w:t>
      </w:r>
      <w:r>
        <w:rPr>
          <w:spacing w:val="-5"/>
        </w:rPr>
        <w:t xml:space="preserve"> </w:t>
      </w:r>
      <w:r>
        <w:t>(перерегистрации):</w:t>
      </w:r>
      <w:r>
        <w:rPr>
          <w:spacing w:val="2"/>
        </w:rPr>
        <w:t xml:space="preserve"> </w:t>
      </w:r>
    </w:p>
    <w:p w14:paraId="1B8E49F3" w14:textId="77777777" w:rsidR="005245B3" w:rsidRDefault="005245B3">
      <w:pPr>
        <w:pStyle w:val="a3"/>
        <w:spacing w:before="5"/>
        <w:ind w:left="0"/>
        <w:jc w:val="left"/>
      </w:pPr>
    </w:p>
    <w:p w14:paraId="3CB7A201" w14:textId="77777777" w:rsidR="005245B3" w:rsidRDefault="00C3576F">
      <w:pPr>
        <w:pStyle w:val="1"/>
        <w:numPr>
          <w:ilvl w:val="0"/>
          <w:numId w:val="3"/>
        </w:numPr>
        <w:tabs>
          <w:tab w:val="left" w:pos="585"/>
        </w:tabs>
        <w:ind w:left="585" w:hanging="366"/>
      </w:pPr>
      <w:r>
        <w:t>ДАТА</w:t>
      </w:r>
      <w:r>
        <w:rPr>
          <w:spacing w:val="-7"/>
        </w:rPr>
        <w:t xml:space="preserve"> </w:t>
      </w:r>
      <w:r>
        <w:t>ПЕРЕСМОТРА</w:t>
      </w:r>
      <w:r>
        <w:rPr>
          <w:spacing w:val="-7"/>
        </w:rPr>
        <w:t xml:space="preserve"> </w:t>
      </w:r>
      <w:r>
        <w:rPr>
          <w:spacing w:val="-2"/>
        </w:rPr>
        <w:t>ТЕКСТА</w:t>
      </w:r>
    </w:p>
    <w:p w14:paraId="6BCED913" w14:textId="77777777" w:rsidR="005245B3" w:rsidRDefault="00C3576F">
      <w:pPr>
        <w:pStyle w:val="a3"/>
        <w:spacing w:before="1" w:line="237" w:lineRule="auto"/>
        <w:jc w:val="left"/>
      </w:pPr>
      <w:r>
        <w:t>Общая</w:t>
      </w:r>
      <w:r>
        <w:rPr>
          <w:spacing w:val="40"/>
        </w:rPr>
        <w:t xml:space="preserve"> </w:t>
      </w:r>
      <w:r>
        <w:t>характеристика</w:t>
      </w:r>
      <w:r>
        <w:rPr>
          <w:spacing w:val="40"/>
        </w:rPr>
        <w:t xml:space="preserve"> </w:t>
      </w:r>
      <w:r>
        <w:t>лекарственного</w:t>
      </w:r>
      <w:r>
        <w:rPr>
          <w:spacing w:val="80"/>
        </w:rPr>
        <w:t xml:space="preserve"> </w:t>
      </w:r>
      <w:r>
        <w:t>препарата</w:t>
      </w:r>
      <w:r>
        <w:rPr>
          <w:spacing w:val="40"/>
        </w:rPr>
        <w:t xml:space="preserve"> </w:t>
      </w:r>
      <w:r>
        <w:t>доступна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официальном</w:t>
      </w:r>
      <w:r>
        <w:rPr>
          <w:spacing w:val="40"/>
        </w:rPr>
        <w:t xml:space="preserve"> </w:t>
      </w:r>
      <w:r>
        <w:t>сайте</w:t>
      </w:r>
      <w:r>
        <w:rPr>
          <w:spacing w:val="80"/>
        </w:rPr>
        <w:t xml:space="preserve"> </w:t>
      </w:r>
      <w:hyperlink r:id="rId7">
        <w:r>
          <w:rPr>
            <w:spacing w:val="-2"/>
            <w:u w:val="single"/>
          </w:rPr>
          <w:t>http://www.ndda.kz</w:t>
        </w:r>
      </w:hyperlink>
    </w:p>
    <w:sectPr w:rsidR="005245B3">
      <w:pgSz w:w="11910" w:h="16840"/>
      <w:pgMar w:top="1320" w:right="9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F68A1"/>
    <w:multiLevelType w:val="hybridMultilevel"/>
    <w:tmpl w:val="D7E4E394"/>
    <w:lvl w:ilvl="0" w:tplc="17324260">
      <w:numFmt w:val="bullet"/>
      <w:lvlText w:val=""/>
      <w:lvlJc w:val="left"/>
      <w:pPr>
        <w:ind w:left="57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">
    <w:nsid w:val="0DF10D0A"/>
    <w:multiLevelType w:val="hybridMultilevel"/>
    <w:tmpl w:val="96C22622"/>
    <w:lvl w:ilvl="0" w:tplc="0936A2DE">
      <w:start w:val="3"/>
      <w:numFmt w:val="bullet"/>
      <w:lvlText w:val=""/>
      <w:lvlJc w:val="left"/>
      <w:pPr>
        <w:ind w:left="57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">
    <w:nsid w:val="0FD7675B"/>
    <w:multiLevelType w:val="hybridMultilevel"/>
    <w:tmpl w:val="953A4112"/>
    <w:lvl w:ilvl="0" w:tplc="9CD8B238">
      <w:start w:val="3"/>
      <w:numFmt w:val="bullet"/>
      <w:lvlText w:val=""/>
      <w:lvlJc w:val="left"/>
      <w:pPr>
        <w:ind w:left="57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3">
    <w:nsid w:val="16D34C94"/>
    <w:multiLevelType w:val="multilevel"/>
    <w:tmpl w:val="6628A854"/>
    <w:lvl w:ilvl="0">
      <w:start w:val="1"/>
      <w:numFmt w:val="decimal"/>
      <w:lvlText w:val="%1."/>
      <w:lvlJc w:val="left"/>
      <w:pPr>
        <w:ind w:left="464" w:hanging="24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5" w:hanging="366"/>
      </w:pPr>
      <w:rPr>
        <w:rFonts w:hint="default"/>
        <w:w w:val="100"/>
        <w:lang w:val="ru-RU" w:eastAsia="en-US" w:bidi="ar-SA"/>
      </w:rPr>
    </w:lvl>
    <w:lvl w:ilvl="2">
      <w:numFmt w:val="bullet"/>
      <w:lvlText w:val="-"/>
      <w:lvlJc w:val="left"/>
      <w:pPr>
        <w:ind w:left="219" w:hanging="169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1698" w:hanging="1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16" w:hanging="1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34" w:hanging="1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52" w:hanging="1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70" w:hanging="1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88" w:hanging="169"/>
      </w:pPr>
      <w:rPr>
        <w:rFonts w:hint="default"/>
        <w:lang w:val="ru-RU" w:eastAsia="en-US" w:bidi="ar-SA"/>
      </w:rPr>
    </w:lvl>
  </w:abstractNum>
  <w:abstractNum w:abstractNumId="4">
    <w:nsid w:val="27662286"/>
    <w:multiLevelType w:val="multilevel"/>
    <w:tmpl w:val="2AF669C2"/>
    <w:lvl w:ilvl="0">
      <w:start w:val="6"/>
      <w:numFmt w:val="decimal"/>
      <w:lvlText w:val="%1"/>
      <w:lvlJc w:val="left"/>
      <w:pPr>
        <w:ind w:left="64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1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7" w:hanging="423"/>
      </w:pPr>
      <w:rPr>
        <w:rFonts w:hint="default"/>
        <w:lang w:val="ru-RU" w:eastAsia="en-US" w:bidi="ar-SA"/>
      </w:rPr>
    </w:lvl>
  </w:abstractNum>
  <w:abstractNum w:abstractNumId="5">
    <w:nsid w:val="6B125B59"/>
    <w:multiLevelType w:val="hybridMultilevel"/>
    <w:tmpl w:val="FC2A78A6"/>
    <w:lvl w:ilvl="0" w:tplc="37840B04">
      <w:numFmt w:val="bullet"/>
      <w:lvlText w:val=""/>
      <w:lvlJc w:val="left"/>
      <w:pPr>
        <w:ind w:left="57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6">
    <w:nsid w:val="7F3F6BAB"/>
    <w:multiLevelType w:val="multilevel"/>
    <w:tmpl w:val="9092B6FC"/>
    <w:lvl w:ilvl="0">
      <w:start w:val="6"/>
      <w:numFmt w:val="decimal"/>
      <w:lvlText w:val="%1"/>
      <w:lvlJc w:val="left"/>
      <w:pPr>
        <w:ind w:left="585" w:hanging="36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585" w:hanging="36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68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3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2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6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0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5" w:hanging="366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5B3"/>
    <w:rsid w:val="00090D58"/>
    <w:rsid w:val="000B5F87"/>
    <w:rsid w:val="001E486D"/>
    <w:rsid w:val="001F4B2A"/>
    <w:rsid w:val="00203EE5"/>
    <w:rsid w:val="00223BFE"/>
    <w:rsid w:val="00244F9F"/>
    <w:rsid w:val="002C0F43"/>
    <w:rsid w:val="00321AC2"/>
    <w:rsid w:val="0042532D"/>
    <w:rsid w:val="00475545"/>
    <w:rsid w:val="0047700E"/>
    <w:rsid w:val="00492EB2"/>
    <w:rsid w:val="004A5AF1"/>
    <w:rsid w:val="005245B3"/>
    <w:rsid w:val="0059794B"/>
    <w:rsid w:val="005C17C2"/>
    <w:rsid w:val="005C4CDE"/>
    <w:rsid w:val="0066775A"/>
    <w:rsid w:val="007216F5"/>
    <w:rsid w:val="008115B7"/>
    <w:rsid w:val="00880183"/>
    <w:rsid w:val="00885414"/>
    <w:rsid w:val="00892147"/>
    <w:rsid w:val="00A85E4C"/>
    <w:rsid w:val="00AB5B6D"/>
    <w:rsid w:val="00AB5FB6"/>
    <w:rsid w:val="00B43F95"/>
    <w:rsid w:val="00B64A16"/>
    <w:rsid w:val="00BF3F53"/>
    <w:rsid w:val="00BF6945"/>
    <w:rsid w:val="00C21205"/>
    <w:rsid w:val="00C3576F"/>
    <w:rsid w:val="00C7111B"/>
    <w:rsid w:val="00C90CB8"/>
    <w:rsid w:val="00C96D8B"/>
    <w:rsid w:val="00C970EB"/>
    <w:rsid w:val="00D04885"/>
    <w:rsid w:val="00E1269E"/>
    <w:rsid w:val="00F127F1"/>
    <w:rsid w:val="00F9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20F6C"/>
  <w15:docId w15:val="{F9139B47-9131-4008-BB06-F17AF749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275" w:lineRule="exact"/>
      <w:ind w:left="464" w:hanging="24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line="275" w:lineRule="exact"/>
      <w:ind w:left="219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ind w:left="219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line="275" w:lineRule="exact"/>
      <w:ind w:left="21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Revision"/>
    <w:hidden/>
    <w:uiPriority w:val="99"/>
    <w:semiHidden/>
    <w:rsid w:val="0042532D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character" w:styleId="a7">
    <w:name w:val="annotation reference"/>
    <w:basedOn w:val="a0"/>
    <w:uiPriority w:val="99"/>
    <w:semiHidden/>
    <w:unhideWhenUsed/>
    <w:rsid w:val="0042532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2532D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2532D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2532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2532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unhideWhenUsed/>
    <w:rsid w:val="00C3576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3576F"/>
    <w:rPr>
      <w:color w:val="605E5C"/>
      <w:shd w:val="clear" w:color="auto" w:fill="E1DFDD"/>
    </w:rPr>
  </w:style>
  <w:style w:type="character" w:customStyle="1" w:styleId="a4">
    <w:name w:val="Основной текст Знак"/>
    <w:basedOn w:val="a0"/>
    <w:link w:val="a3"/>
    <w:uiPriority w:val="1"/>
    <w:rsid w:val="00A85E4C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d">
    <w:name w:val="Strong"/>
    <w:basedOn w:val="a0"/>
    <w:uiPriority w:val="22"/>
    <w:qFormat/>
    <w:rsid w:val="004755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9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dda.k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harmacovigilance@rogerspharma.kz" TargetMode="External"/><Relationship Id="rId5" Type="http://schemas.openxmlformats.org/officeDocument/2006/relationships/hyperlink" Target="http://www.ndda.kz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4332</Words>
  <Characters>24696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Sanofi</Company>
  <LinksUpToDate>false</LinksUpToDate>
  <CharactersWithSpaces>28971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Малика М. Бугаева</cp:lastModifiedBy>
  <cp:revision>2</cp:revision>
  <dcterms:created xsi:type="dcterms:W3CDTF">2025-06-19T12:37:00Z</dcterms:created>
  <dcterms:modified xsi:type="dcterms:W3CDTF">2025-06-19T12:37:00Z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2023-04-10T00:00:00Z</vt:filetime>
  </property>
  <property fmtid="{D5CDD505-2E9C-101B-9397-08002B2CF9AE}" pid="5" name="Producer">
    <vt:lpwstr>www.ilovepdf.com</vt:lpwstr>
  </property>
</Properties>
</file>